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宋体"/>
          <w:b/>
          <w:sz w:val="36"/>
          <w:szCs w:val="36"/>
        </w:rPr>
      </w:pPr>
      <w:r>
        <w:rPr>
          <w:rFonts w:hint="eastAsia" w:ascii="Times New Roman" w:hAnsi="Times New Roman" w:eastAsia="宋体" w:cs="宋体"/>
          <w:b/>
          <w:sz w:val="36"/>
          <w:szCs w:val="36"/>
        </w:rPr>
        <w:t>浙江乍浦美福码头仓储有限公司码头改造项目</w:t>
      </w:r>
    </w:p>
    <w:p>
      <w:pPr>
        <w:jc w:val="center"/>
        <w:rPr>
          <w:rFonts w:ascii="Times New Roman" w:hAnsi="Times New Roman" w:eastAsia="宋体" w:cs="宋体"/>
          <w:b/>
          <w:sz w:val="36"/>
          <w:szCs w:val="36"/>
        </w:rPr>
      </w:pPr>
      <w:r>
        <w:rPr>
          <w:rFonts w:hint="eastAsia" w:ascii="Times New Roman" w:hAnsi="Times New Roman" w:eastAsia="宋体" w:cs="宋体"/>
          <w:b/>
          <w:sz w:val="36"/>
          <w:szCs w:val="36"/>
        </w:rPr>
        <w:t>环境影响评价信息公示</w:t>
      </w:r>
    </w:p>
    <w:p>
      <w:pPr>
        <w:pStyle w:val="32"/>
      </w:pPr>
      <w:r>
        <w:rPr>
          <w:rFonts w:hint="eastAsia"/>
        </w:rPr>
        <w:t>一、项目概要</w:t>
      </w:r>
    </w:p>
    <w:p>
      <w:pPr>
        <w:pStyle w:val="19"/>
        <w:ind w:firstLine="422"/>
      </w:pPr>
      <w:r>
        <w:rPr>
          <w:b/>
          <w:bCs/>
        </w:rPr>
        <w:t>项目名称：</w:t>
      </w:r>
      <w:r>
        <w:rPr>
          <w:rFonts w:hint="eastAsia"/>
        </w:rPr>
        <w:t>浙江乍浦美福码头仓储有限公司码头改造</w:t>
      </w:r>
    </w:p>
    <w:p>
      <w:pPr>
        <w:pStyle w:val="19"/>
        <w:ind w:firstLine="422"/>
      </w:pPr>
      <w:r>
        <w:rPr>
          <w:rFonts w:hint="eastAsia"/>
          <w:b/>
          <w:bCs/>
        </w:rPr>
        <w:t>建设地点：</w:t>
      </w:r>
      <w:r>
        <w:rPr>
          <w:rFonts w:hint="eastAsia"/>
        </w:rPr>
        <w:t>嘉兴港乍浦港区三期内</w:t>
      </w:r>
    </w:p>
    <w:p>
      <w:pPr>
        <w:pStyle w:val="19"/>
        <w:ind w:firstLine="422"/>
      </w:pPr>
      <w:r>
        <w:rPr>
          <w:rFonts w:hint="eastAsia"/>
          <w:b/>
          <w:bCs/>
        </w:rPr>
        <w:t>建设单位：</w:t>
      </w:r>
      <w:r>
        <w:rPr>
          <w:rFonts w:hint="eastAsia"/>
        </w:rPr>
        <w:t>浙江乍浦美福码头仓储有限公司</w:t>
      </w:r>
    </w:p>
    <w:p>
      <w:pPr>
        <w:pStyle w:val="19"/>
        <w:ind w:firstLine="422"/>
      </w:pPr>
      <w:r>
        <w:rPr>
          <w:rFonts w:hint="eastAsia"/>
          <w:b/>
          <w:bCs/>
        </w:rPr>
        <w:t>建设性质：</w:t>
      </w:r>
      <w:r>
        <w:rPr>
          <w:rFonts w:hint="eastAsia"/>
        </w:rPr>
        <w:t>技改</w:t>
      </w:r>
    </w:p>
    <w:p>
      <w:pPr>
        <w:pStyle w:val="19"/>
        <w:ind w:firstLine="422"/>
      </w:pPr>
      <w:r>
        <w:rPr>
          <w:rFonts w:hint="eastAsia"/>
          <w:b/>
          <w:bCs/>
        </w:rPr>
        <w:t>总投资：</w:t>
      </w:r>
      <w:r>
        <w:rPr>
          <w:rFonts w:hint="eastAsia"/>
          <w:b w:val="0"/>
          <w:bCs w:val="0"/>
          <w:lang w:val="en-US" w:eastAsia="zh-CN"/>
        </w:rPr>
        <w:t>约</w:t>
      </w:r>
      <w:r>
        <w:rPr>
          <w:rFonts w:hint="eastAsia"/>
        </w:rPr>
        <w:t>1</w:t>
      </w:r>
      <w:r>
        <w:rPr>
          <w:rFonts w:hint="eastAsia"/>
          <w:lang w:val="en-US" w:eastAsia="zh-CN"/>
        </w:rPr>
        <w:t>.6亿</w:t>
      </w:r>
      <w:r>
        <w:rPr>
          <w:rFonts w:hint="eastAsia"/>
        </w:rPr>
        <w:t>元</w:t>
      </w:r>
    </w:p>
    <w:p>
      <w:pPr>
        <w:pStyle w:val="19"/>
        <w:ind w:firstLine="422"/>
      </w:pPr>
      <w:r>
        <w:rPr>
          <w:rFonts w:hint="eastAsia"/>
          <w:b/>
          <w:bCs/>
        </w:rPr>
        <w:t>工程规模：</w:t>
      </w:r>
      <w:r>
        <w:rPr>
          <w:rFonts w:hint="eastAsia"/>
        </w:rPr>
        <w:t>为满足后方企业对原料的需求，提高卸货效率，在已取得乙烷和</w:t>
      </w:r>
      <w:r>
        <w:rPr>
          <w:rFonts w:hint="eastAsia"/>
          <w:lang w:val="en-US" w:eastAsia="zh-CN"/>
        </w:rPr>
        <w:t>丙</w:t>
      </w:r>
      <w:r>
        <w:rPr>
          <w:rFonts w:hint="eastAsia"/>
        </w:rPr>
        <w:t>烷资质的条件下，对码头进行改造。在原栈桥西侧新增引桥用于敷设乙烷和丙烷管道，输送到</w:t>
      </w:r>
      <w:r>
        <w:rPr>
          <w:rFonts w:hint="eastAsia"/>
          <w:lang w:val="en-US" w:eastAsia="zh-CN"/>
        </w:rPr>
        <w:t>后</w:t>
      </w:r>
      <w:r>
        <w:rPr>
          <w:rFonts w:hint="eastAsia"/>
        </w:rPr>
        <w:t>方储罐。码头平台新增乙烷和丙烷专用装卸臂，并对码头平台进行局部加固。本项目不涉及码头名称、用途、等级、吞吐量等变化。</w:t>
      </w:r>
    </w:p>
    <w:p>
      <w:pPr>
        <w:pStyle w:val="32"/>
      </w:pPr>
      <w:r>
        <w:rPr>
          <w:rFonts w:hint="eastAsia"/>
        </w:rPr>
        <w:t>二、环境影响评价范围内主要环境敏感目标分布情况</w:t>
      </w:r>
    </w:p>
    <w:p>
      <w:pPr>
        <w:pStyle w:val="19"/>
        <w:ind w:firstLine="420"/>
      </w:pPr>
      <w:r>
        <w:rPr>
          <w:rFonts w:hint="eastAsia"/>
        </w:rPr>
        <w:t>本工程评价范围内主要环境敏感目标分布情况见表1。</w:t>
      </w:r>
    </w:p>
    <w:p>
      <w:pPr>
        <w:pStyle w:val="19"/>
        <w:ind w:firstLine="422"/>
        <w:jc w:val="center"/>
        <w:rPr>
          <w:b/>
          <w:bCs/>
        </w:rPr>
      </w:pPr>
      <w:r>
        <w:rPr>
          <w:rFonts w:hint="eastAsia"/>
          <w:b/>
          <w:bCs/>
        </w:rPr>
        <w:t>表1  主要环境保护目标</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2"/>
        <w:gridCol w:w="531"/>
        <w:gridCol w:w="477"/>
        <w:gridCol w:w="792"/>
        <w:gridCol w:w="996"/>
        <w:gridCol w:w="777"/>
        <w:gridCol w:w="1094"/>
        <w:gridCol w:w="185"/>
        <w:gridCol w:w="1772"/>
        <w:gridCol w:w="48"/>
        <w:gridCol w:w="806"/>
        <w:gridCol w:w="518"/>
        <w:gridCol w:w="1437"/>
        <w:gridCol w:w="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blHeader/>
        </w:trPr>
        <w:tc>
          <w:tcPr>
            <w:tcW w:w="262" w:type="pct"/>
            <w:vMerge w:val="restart"/>
            <w:shd w:val="clear" w:color="auto" w:fill="auto"/>
            <w:vAlign w:val="center"/>
          </w:tcPr>
          <w:p>
            <w:pPr>
              <w:widowControl/>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环境</w:t>
            </w:r>
          </w:p>
          <w:p>
            <w:pPr>
              <w:widowControl/>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要素</w:t>
            </w:r>
          </w:p>
        </w:tc>
        <w:tc>
          <w:tcPr>
            <w:tcW w:w="252" w:type="pct"/>
            <w:vMerge w:val="restart"/>
            <w:shd w:val="clear" w:color="auto" w:fill="auto"/>
            <w:vAlign w:val="center"/>
          </w:tcPr>
          <w:p>
            <w:pPr>
              <w:widowControl/>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市/区</w:t>
            </w:r>
          </w:p>
        </w:tc>
        <w:tc>
          <w:tcPr>
            <w:tcW w:w="226" w:type="pct"/>
            <w:vMerge w:val="restart"/>
            <w:shd w:val="clear" w:color="auto" w:fill="auto"/>
            <w:vAlign w:val="center"/>
          </w:tcPr>
          <w:p>
            <w:pPr>
              <w:widowControl/>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镇、街道</w:t>
            </w:r>
          </w:p>
        </w:tc>
        <w:tc>
          <w:tcPr>
            <w:tcW w:w="376" w:type="pct"/>
            <w:vMerge w:val="restart"/>
            <w:shd w:val="clear" w:color="auto" w:fill="auto"/>
            <w:vAlign w:val="center"/>
          </w:tcPr>
          <w:p>
            <w:pPr>
              <w:widowControl/>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行政村/社区</w:t>
            </w:r>
          </w:p>
        </w:tc>
        <w:tc>
          <w:tcPr>
            <w:tcW w:w="472" w:type="pct"/>
            <w:vMerge w:val="restart"/>
            <w:shd w:val="clear" w:color="auto" w:fill="auto"/>
            <w:vAlign w:val="center"/>
          </w:tcPr>
          <w:p>
            <w:pPr>
              <w:widowControl/>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敏感点名称</w:t>
            </w:r>
          </w:p>
        </w:tc>
        <w:tc>
          <w:tcPr>
            <w:tcW w:w="1842" w:type="pct"/>
            <w:gridSpan w:val="5"/>
            <w:shd w:val="clear" w:color="auto" w:fill="auto"/>
            <w:vAlign w:val="center"/>
          </w:tcPr>
          <w:p>
            <w:pPr>
              <w:widowControl/>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坐标</w:t>
            </w:r>
          </w:p>
        </w:tc>
        <w:tc>
          <w:tcPr>
            <w:tcW w:w="383" w:type="pct"/>
            <w:vMerge w:val="restart"/>
            <w:shd w:val="clear" w:color="auto" w:fill="auto"/>
            <w:vAlign w:val="center"/>
          </w:tcPr>
          <w:p>
            <w:pPr>
              <w:widowControl/>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场界最近距离（m）</w:t>
            </w:r>
          </w:p>
        </w:tc>
        <w:tc>
          <w:tcPr>
            <w:tcW w:w="244" w:type="pct"/>
            <w:vMerge w:val="restart"/>
            <w:shd w:val="clear" w:color="auto" w:fill="auto"/>
            <w:vAlign w:val="center"/>
          </w:tcPr>
          <w:p>
            <w:pPr>
              <w:widowControl/>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相对方位</w:t>
            </w:r>
          </w:p>
        </w:tc>
        <w:tc>
          <w:tcPr>
            <w:tcW w:w="683" w:type="pct"/>
            <w:vMerge w:val="restart"/>
            <w:shd w:val="clear" w:color="auto" w:fill="auto"/>
            <w:vAlign w:val="center"/>
          </w:tcPr>
          <w:p>
            <w:pPr>
              <w:widowControl/>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主要保护目标规模</w:t>
            </w:r>
          </w:p>
        </w:tc>
        <w:tc>
          <w:tcPr>
            <w:tcW w:w="254" w:type="pct"/>
            <w:vMerge w:val="restart"/>
            <w:shd w:val="clear" w:color="auto" w:fill="auto"/>
            <w:vAlign w:val="center"/>
          </w:tcPr>
          <w:p>
            <w:pPr>
              <w:widowControl/>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blHeader/>
        </w:trPr>
        <w:tc>
          <w:tcPr>
            <w:tcW w:w="262" w:type="pct"/>
            <w:vMerge w:val="continue"/>
            <w:vAlign w:val="center"/>
          </w:tcPr>
          <w:p>
            <w:pPr>
              <w:widowControl/>
              <w:adjustRightInd w:val="0"/>
              <w:snapToGrid w:val="0"/>
              <w:jc w:val="center"/>
              <w:rPr>
                <w:rFonts w:ascii="Times New Roman" w:hAnsi="Times New Roman" w:cs="Times New Roman"/>
                <w:b/>
                <w:bCs/>
                <w:kern w:val="0"/>
                <w:sz w:val="18"/>
                <w:szCs w:val="18"/>
              </w:rPr>
            </w:pPr>
          </w:p>
        </w:tc>
        <w:tc>
          <w:tcPr>
            <w:tcW w:w="252" w:type="pct"/>
            <w:vMerge w:val="continue"/>
            <w:vAlign w:val="center"/>
          </w:tcPr>
          <w:p>
            <w:pPr>
              <w:widowControl/>
              <w:adjustRightInd w:val="0"/>
              <w:snapToGrid w:val="0"/>
              <w:jc w:val="left"/>
              <w:rPr>
                <w:rFonts w:ascii="Times New Roman" w:hAnsi="Times New Roman" w:cs="Times New Roman"/>
                <w:b/>
                <w:bCs/>
                <w:kern w:val="0"/>
                <w:sz w:val="18"/>
                <w:szCs w:val="18"/>
              </w:rPr>
            </w:pPr>
          </w:p>
        </w:tc>
        <w:tc>
          <w:tcPr>
            <w:tcW w:w="226" w:type="pct"/>
            <w:vMerge w:val="continue"/>
            <w:vAlign w:val="center"/>
          </w:tcPr>
          <w:p>
            <w:pPr>
              <w:widowControl/>
              <w:adjustRightInd w:val="0"/>
              <w:snapToGrid w:val="0"/>
              <w:jc w:val="left"/>
              <w:rPr>
                <w:rFonts w:ascii="Times New Roman" w:hAnsi="Times New Roman" w:cs="Times New Roman"/>
                <w:b/>
                <w:bCs/>
                <w:kern w:val="0"/>
                <w:sz w:val="18"/>
                <w:szCs w:val="18"/>
              </w:rPr>
            </w:pPr>
          </w:p>
        </w:tc>
        <w:tc>
          <w:tcPr>
            <w:tcW w:w="376" w:type="pct"/>
            <w:vMerge w:val="continue"/>
            <w:vAlign w:val="center"/>
          </w:tcPr>
          <w:p>
            <w:pPr>
              <w:widowControl/>
              <w:adjustRightInd w:val="0"/>
              <w:snapToGrid w:val="0"/>
              <w:jc w:val="left"/>
              <w:rPr>
                <w:rFonts w:ascii="Times New Roman" w:hAnsi="Times New Roman" w:cs="Times New Roman"/>
                <w:b/>
                <w:bCs/>
                <w:kern w:val="0"/>
                <w:sz w:val="18"/>
                <w:szCs w:val="18"/>
              </w:rPr>
            </w:pPr>
          </w:p>
        </w:tc>
        <w:tc>
          <w:tcPr>
            <w:tcW w:w="472" w:type="pct"/>
            <w:vMerge w:val="continue"/>
            <w:vAlign w:val="center"/>
          </w:tcPr>
          <w:p>
            <w:pPr>
              <w:widowControl/>
              <w:adjustRightInd w:val="0"/>
              <w:snapToGrid w:val="0"/>
              <w:jc w:val="left"/>
              <w:rPr>
                <w:rFonts w:ascii="Times New Roman" w:hAnsi="Times New Roman" w:cs="Times New Roman"/>
                <w:b/>
                <w:bCs/>
                <w:kern w:val="0"/>
                <w:sz w:val="18"/>
                <w:szCs w:val="18"/>
              </w:rPr>
            </w:pPr>
          </w:p>
        </w:tc>
        <w:tc>
          <w:tcPr>
            <w:tcW w:w="889" w:type="pct"/>
            <w:gridSpan w:val="2"/>
            <w:shd w:val="clear" w:color="auto" w:fill="auto"/>
            <w:vAlign w:val="center"/>
          </w:tcPr>
          <w:p>
            <w:pPr>
              <w:widowControl/>
              <w:adjustRightInd w:val="0"/>
              <w:snapToGrid w:val="0"/>
              <w:jc w:val="center"/>
              <w:rPr>
                <w:rFonts w:ascii="Times New Roman" w:hAnsi="Times New Roman" w:cs="Times New Roman"/>
                <w:b/>
                <w:bCs/>
                <w:kern w:val="0"/>
                <w:sz w:val="18"/>
                <w:szCs w:val="18"/>
              </w:rPr>
            </w:pPr>
            <w:r>
              <w:rPr>
                <w:rFonts w:hint="eastAsia" w:ascii="Times New Roman" w:hAnsi="Times New Roman" w:cs="Times New Roman"/>
                <w:b/>
                <w:bCs/>
                <w:kern w:val="0"/>
                <w:sz w:val="18"/>
                <w:szCs w:val="18"/>
              </w:rPr>
              <w:t>经度</w:t>
            </w:r>
          </w:p>
        </w:tc>
        <w:tc>
          <w:tcPr>
            <w:tcW w:w="953" w:type="pct"/>
            <w:gridSpan w:val="3"/>
            <w:shd w:val="clear" w:color="auto" w:fill="auto"/>
            <w:vAlign w:val="center"/>
          </w:tcPr>
          <w:p>
            <w:pPr>
              <w:widowControl/>
              <w:adjustRightInd w:val="0"/>
              <w:snapToGrid w:val="0"/>
              <w:jc w:val="center"/>
              <w:rPr>
                <w:rFonts w:ascii="Times New Roman" w:hAnsi="Times New Roman" w:cs="Times New Roman"/>
                <w:b/>
                <w:bCs/>
                <w:kern w:val="0"/>
                <w:sz w:val="18"/>
                <w:szCs w:val="18"/>
              </w:rPr>
            </w:pPr>
            <w:r>
              <w:rPr>
                <w:rFonts w:hint="eastAsia" w:ascii="Times New Roman" w:hAnsi="Times New Roman" w:cs="Times New Roman"/>
                <w:b/>
                <w:bCs/>
                <w:kern w:val="0"/>
                <w:sz w:val="18"/>
                <w:szCs w:val="18"/>
              </w:rPr>
              <w:t>纬度</w:t>
            </w:r>
          </w:p>
        </w:tc>
        <w:tc>
          <w:tcPr>
            <w:tcW w:w="383" w:type="pct"/>
            <w:vMerge w:val="continue"/>
            <w:vAlign w:val="center"/>
          </w:tcPr>
          <w:p>
            <w:pPr>
              <w:widowControl/>
              <w:adjustRightInd w:val="0"/>
              <w:snapToGrid w:val="0"/>
              <w:jc w:val="left"/>
              <w:rPr>
                <w:rFonts w:ascii="Times New Roman" w:hAnsi="Times New Roman" w:cs="Times New Roman"/>
                <w:b/>
                <w:bCs/>
                <w:kern w:val="0"/>
                <w:sz w:val="18"/>
                <w:szCs w:val="18"/>
              </w:rPr>
            </w:pPr>
          </w:p>
        </w:tc>
        <w:tc>
          <w:tcPr>
            <w:tcW w:w="244" w:type="pct"/>
            <w:vMerge w:val="continue"/>
            <w:vAlign w:val="center"/>
          </w:tcPr>
          <w:p>
            <w:pPr>
              <w:widowControl/>
              <w:adjustRightInd w:val="0"/>
              <w:snapToGrid w:val="0"/>
              <w:jc w:val="left"/>
              <w:rPr>
                <w:rFonts w:ascii="Times New Roman" w:hAnsi="Times New Roman" w:cs="Times New Roman"/>
                <w:b/>
                <w:bCs/>
                <w:kern w:val="0"/>
                <w:sz w:val="18"/>
                <w:szCs w:val="18"/>
              </w:rPr>
            </w:pPr>
          </w:p>
        </w:tc>
        <w:tc>
          <w:tcPr>
            <w:tcW w:w="683" w:type="pct"/>
            <w:vMerge w:val="continue"/>
            <w:vAlign w:val="center"/>
          </w:tcPr>
          <w:p>
            <w:pPr>
              <w:widowControl/>
              <w:adjustRightInd w:val="0"/>
              <w:snapToGrid w:val="0"/>
              <w:jc w:val="left"/>
              <w:rPr>
                <w:rFonts w:ascii="Times New Roman" w:hAnsi="Times New Roman" w:cs="Times New Roman"/>
                <w:b/>
                <w:bCs/>
                <w:kern w:val="0"/>
                <w:sz w:val="18"/>
                <w:szCs w:val="18"/>
              </w:rPr>
            </w:pPr>
          </w:p>
        </w:tc>
        <w:tc>
          <w:tcPr>
            <w:tcW w:w="254" w:type="pct"/>
            <w:vMerge w:val="continue"/>
            <w:vAlign w:val="center"/>
          </w:tcPr>
          <w:p>
            <w:pPr>
              <w:widowControl/>
              <w:adjustRightInd w:val="0"/>
              <w:snapToGrid w:val="0"/>
              <w:jc w:val="left"/>
              <w:rPr>
                <w:rFonts w:ascii="Times New Roman" w:hAnsi="Times New Roman"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262" w:type="pct"/>
            <w:vMerge w:val="restart"/>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大气</w:t>
            </w:r>
          </w:p>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环境</w:t>
            </w:r>
          </w:p>
        </w:tc>
        <w:tc>
          <w:tcPr>
            <w:tcW w:w="252" w:type="pct"/>
            <w:vMerge w:val="restart"/>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嘉兴市</w:t>
            </w:r>
          </w:p>
        </w:tc>
        <w:tc>
          <w:tcPr>
            <w:tcW w:w="226" w:type="pct"/>
            <w:vMerge w:val="restart"/>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乍浦镇</w:t>
            </w:r>
          </w:p>
        </w:tc>
        <w:tc>
          <w:tcPr>
            <w:tcW w:w="376" w:type="pct"/>
            <w:vMerge w:val="restart"/>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雅山社区</w:t>
            </w:r>
          </w:p>
        </w:tc>
        <w:tc>
          <w:tcPr>
            <w:tcW w:w="472"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雅山社区</w:t>
            </w:r>
          </w:p>
        </w:tc>
        <w:tc>
          <w:tcPr>
            <w:tcW w:w="889" w:type="pct"/>
            <w:gridSpan w:val="2"/>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121°4′17.03644″</w:t>
            </w:r>
          </w:p>
        </w:tc>
        <w:tc>
          <w:tcPr>
            <w:tcW w:w="953" w:type="pct"/>
            <w:gridSpan w:val="3"/>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30°36′23.97811″</w:t>
            </w:r>
          </w:p>
        </w:tc>
        <w:tc>
          <w:tcPr>
            <w:tcW w:w="3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2340</w:t>
            </w:r>
          </w:p>
        </w:tc>
        <w:tc>
          <w:tcPr>
            <w:tcW w:w="244"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NE</w:t>
            </w:r>
          </w:p>
        </w:tc>
        <w:tc>
          <w:tcPr>
            <w:tcW w:w="6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居民，约10000人</w:t>
            </w:r>
          </w:p>
        </w:tc>
        <w:tc>
          <w:tcPr>
            <w:tcW w:w="254" w:type="pct"/>
            <w:vMerge w:val="restart"/>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GB3095-2012</w:t>
            </w:r>
          </w:p>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262" w:type="pct"/>
            <w:vMerge w:val="continue"/>
            <w:vAlign w:val="center"/>
          </w:tcPr>
          <w:p>
            <w:pPr>
              <w:widowControl/>
              <w:adjustRightInd w:val="0"/>
              <w:snapToGrid w:val="0"/>
              <w:jc w:val="center"/>
              <w:rPr>
                <w:rFonts w:ascii="Times New Roman" w:hAnsi="Times New Roman" w:cs="Times New Roman"/>
                <w:kern w:val="0"/>
                <w:sz w:val="18"/>
                <w:szCs w:val="18"/>
              </w:rPr>
            </w:pPr>
          </w:p>
        </w:tc>
        <w:tc>
          <w:tcPr>
            <w:tcW w:w="252" w:type="pct"/>
            <w:vMerge w:val="continue"/>
            <w:vAlign w:val="center"/>
          </w:tcPr>
          <w:p>
            <w:pPr>
              <w:widowControl/>
              <w:adjustRightInd w:val="0"/>
              <w:snapToGrid w:val="0"/>
              <w:jc w:val="left"/>
              <w:rPr>
                <w:rFonts w:ascii="Times New Roman" w:hAnsi="Times New Roman" w:cs="Times New Roman"/>
                <w:kern w:val="0"/>
                <w:sz w:val="18"/>
                <w:szCs w:val="18"/>
              </w:rPr>
            </w:pPr>
          </w:p>
        </w:tc>
        <w:tc>
          <w:tcPr>
            <w:tcW w:w="226" w:type="pct"/>
            <w:vMerge w:val="continue"/>
            <w:vAlign w:val="center"/>
          </w:tcPr>
          <w:p>
            <w:pPr>
              <w:widowControl/>
              <w:adjustRightInd w:val="0"/>
              <w:snapToGrid w:val="0"/>
              <w:jc w:val="left"/>
              <w:rPr>
                <w:rFonts w:ascii="Times New Roman" w:hAnsi="Times New Roman" w:cs="Times New Roman"/>
                <w:kern w:val="0"/>
                <w:sz w:val="18"/>
                <w:szCs w:val="18"/>
              </w:rPr>
            </w:pPr>
          </w:p>
        </w:tc>
        <w:tc>
          <w:tcPr>
            <w:tcW w:w="376" w:type="pct"/>
            <w:vMerge w:val="continue"/>
            <w:vAlign w:val="center"/>
          </w:tcPr>
          <w:p>
            <w:pPr>
              <w:widowControl/>
              <w:adjustRightInd w:val="0"/>
              <w:snapToGrid w:val="0"/>
              <w:jc w:val="center"/>
              <w:rPr>
                <w:rFonts w:ascii="Times New Roman" w:hAnsi="Times New Roman" w:cs="Times New Roman"/>
                <w:kern w:val="0"/>
                <w:sz w:val="18"/>
                <w:szCs w:val="18"/>
              </w:rPr>
            </w:pPr>
          </w:p>
        </w:tc>
        <w:tc>
          <w:tcPr>
            <w:tcW w:w="472"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雅山新村一区</w:t>
            </w:r>
          </w:p>
        </w:tc>
        <w:tc>
          <w:tcPr>
            <w:tcW w:w="889" w:type="pct"/>
            <w:gridSpan w:val="2"/>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121°4′19.46974″</w:t>
            </w:r>
          </w:p>
        </w:tc>
        <w:tc>
          <w:tcPr>
            <w:tcW w:w="953" w:type="pct"/>
            <w:gridSpan w:val="3"/>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30°36′26.14104″</w:t>
            </w:r>
          </w:p>
        </w:tc>
        <w:tc>
          <w:tcPr>
            <w:tcW w:w="3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2430</w:t>
            </w:r>
          </w:p>
        </w:tc>
        <w:tc>
          <w:tcPr>
            <w:tcW w:w="244"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NE</w:t>
            </w:r>
          </w:p>
        </w:tc>
        <w:tc>
          <w:tcPr>
            <w:tcW w:w="6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居民，约2000人</w:t>
            </w:r>
          </w:p>
        </w:tc>
        <w:tc>
          <w:tcPr>
            <w:tcW w:w="254" w:type="pct"/>
            <w:vMerge w:val="continue"/>
            <w:vAlign w:val="center"/>
          </w:tcPr>
          <w:p>
            <w:pPr>
              <w:widowControl/>
              <w:adjustRightInd w:val="0"/>
              <w:snapToGrid w:val="0"/>
              <w:jc w:val="left"/>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262" w:type="pct"/>
            <w:vMerge w:val="continue"/>
            <w:vAlign w:val="center"/>
          </w:tcPr>
          <w:p>
            <w:pPr>
              <w:widowControl/>
              <w:adjustRightInd w:val="0"/>
              <w:snapToGrid w:val="0"/>
              <w:jc w:val="center"/>
              <w:rPr>
                <w:rFonts w:ascii="Times New Roman" w:hAnsi="Times New Roman" w:cs="Times New Roman"/>
                <w:kern w:val="0"/>
                <w:sz w:val="18"/>
                <w:szCs w:val="18"/>
              </w:rPr>
            </w:pPr>
          </w:p>
        </w:tc>
        <w:tc>
          <w:tcPr>
            <w:tcW w:w="252" w:type="pct"/>
            <w:vMerge w:val="continue"/>
            <w:vAlign w:val="center"/>
          </w:tcPr>
          <w:p>
            <w:pPr>
              <w:widowControl/>
              <w:adjustRightInd w:val="0"/>
              <w:snapToGrid w:val="0"/>
              <w:jc w:val="left"/>
              <w:rPr>
                <w:rFonts w:ascii="Times New Roman" w:hAnsi="Times New Roman" w:cs="Times New Roman"/>
                <w:kern w:val="0"/>
                <w:sz w:val="18"/>
                <w:szCs w:val="18"/>
              </w:rPr>
            </w:pPr>
          </w:p>
        </w:tc>
        <w:tc>
          <w:tcPr>
            <w:tcW w:w="226" w:type="pct"/>
            <w:vMerge w:val="continue"/>
            <w:vAlign w:val="center"/>
          </w:tcPr>
          <w:p>
            <w:pPr>
              <w:widowControl/>
              <w:adjustRightInd w:val="0"/>
              <w:snapToGrid w:val="0"/>
              <w:jc w:val="left"/>
              <w:rPr>
                <w:rFonts w:ascii="Times New Roman" w:hAnsi="Times New Roman" w:cs="Times New Roman"/>
                <w:kern w:val="0"/>
                <w:sz w:val="18"/>
                <w:szCs w:val="18"/>
              </w:rPr>
            </w:pPr>
          </w:p>
        </w:tc>
        <w:tc>
          <w:tcPr>
            <w:tcW w:w="376" w:type="pct"/>
            <w:vMerge w:val="continue"/>
            <w:vAlign w:val="center"/>
          </w:tcPr>
          <w:p>
            <w:pPr>
              <w:widowControl/>
              <w:adjustRightInd w:val="0"/>
              <w:snapToGrid w:val="0"/>
              <w:jc w:val="center"/>
              <w:rPr>
                <w:rFonts w:ascii="Times New Roman" w:hAnsi="Times New Roman" w:cs="Times New Roman"/>
                <w:kern w:val="0"/>
                <w:sz w:val="18"/>
                <w:szCs w:val="18"/>
              </w:rPr>
            </w:pPr>
          </w:p>
        </w:tc>
        <w:tc>
          <w:tcPr>
            <w:tcW w:w="472"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雅山新村二区</w:t>
            </w:r>
          </w:p>
        </w:tc>
        <w:tc>
          <w:tcPr>
            <w:tcW w:w="889" w:type="pct"/>
            <w:gridSpan w:val="2"/>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121°4′9.04131″</w:t>
            </w:r>
          </w:p>
        </w:tc>
        <w:tc>
          <w:tcPr>
            <w:tcW w:w="953" w:type="pct"/>
            <w:gridSpan w:val="3"/>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30°36′15.86711″</w:t>
            </w:r>
          </w:p>
        </w:tc>
        <w:tc>
          <w:tcPr>
            <w:tcW w:w="3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2000</w:t>
            </w:r>
          </w:p>
        </w:tc>
        <w:tc>
          <w:tcPr>
            <w:tcW w:w="244"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NE</w:t>
            </w:r>
          </w:p>
        </w:tc>
        <w:tc>
          <w:tcPr>
            <w:tcW w:w="6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居民，约4000人</w:t>
            </w:r>
          </w:p>
        </w:tc>
        <w:tc>
          <w:tcPr>
            <w:tcW w:w="254" w:type="pct"/>
            <w:vMerge w:val="continue"/>
            <w:vAlign w:val="center"/>
          </w:tcPr>
          <w:p>
            <w:pPr>
              <w:widowControl/>
              <w:adjustRightInd w:val="0"/>
              <w:snapToGrid w:val="0"/>
              <w:jc w:val="left"/>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262" w:type="pct"/>
            <w:vMerge w:val="continue"/>
            <w:vAlign w:val="center"/>
          </w:tcPr>
          <w:p>
            <w:pPr>
              <w:widowControl/>
              <w:adjustRightInd w:val="0"/>
              <w:snapToGrid w:val="0"/>
              <w:jc w:val="center"/>
              <w:rPr>
                <w:rFonts w:ascii="Times New Roman" w:hAnsi="Times New Roman" w:cs="Times New Roman"/>
                <w:kern w:val="0"/>
                <w:sz w:val="18"/>
                <w:szCs w:val="18"/>
              </w:rPr>
            </w:pPr>
          </w:p>
        </w:tc>
        <w:tc>
          <w:tcPr>
            <w:tcW w:w="252" w:type="pct"/>
            <w:vMerge w:val="continue"/>
            <w:vAlign w:val="center"/>
          </w:tcPr>
          <w:p>
            <w:pPr>
              <w:widowControl/>
              <w:adjustRightInd w:val="0"/>
              <w:snapToGrid w:val="0"/>
              <w:jc w:val="left"/>
              <w:rPr>
                <w:rFonts w:ascii="Times New Roman" w:hAnsi="Times New Roman" w:cs="Times New Roman"/>
                <w:kern w:val="0"/>
                <w:sz w:val="18"/>
                <w:szCs w:val="18"/>
              </w:rPr>
            </w:pPr>
          </w:p>
        </w:tc>
        <w:tc>
          <w:tcPr>
            <w:tcW w:w="226" w:type="pct"/>
            <w:vMerge w:val="continue"/>
            <w:vAlign w:val="center"/>
          </w:tcPr>
          <w:p>
            <w:pPr>
              <w:widowControl/>
              <w:adjustRightInd w:val="0"/>
              <w:snapToGrid w:val="0"/>
              <w:jc w:val="left"/>
              <w:rPr>
                <w:rFonts w:ascii="Times New Roman" w:hAnsi="Times New Roman" w:cs="Times New Roman"/>
                <w:kern w:val="0"/>
                <w:sz w:val="18"/>
                <w:szCs w:val="18"/>
              </w:rPr>
            </w:pPr>
          </w:p>
        </w:tc>
        <w:tc>
          <w:tcPr>
            <w:tcW w:w="376" w:type="pct"/>
            <w:vMerge w:val="continue"/>
            <w:vAlign w:val="center"/>
          </w:tcPr>
          <w:p>
            <w:pPr>
              <w:widowControl/>
              <w:adjustRightInd w:val="0"/>
              <w:snapToGrid w:val="0"/>
              <w:jc w:val="center"/>
              <w:rPr>
                <w:rFonts w:ascii="Times New Roman" w:hAnsi="Times New Roman" w:cs="Times New Roman"/>
                <w:kern w:val="0"/>
                <w:sz w:val="18"/>
                <w:szCs w:val="18"/>
              </w:rPr>
            </w:pPr>
          </w:p>
        </w:tc>
        <w:tc>
          <w:tcPr>
            <w:tcW w:w="472"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雅山新村三区</w:t>
            </w:r>
          </w:p>
        </w:tc>
        <w:tc>
          <w:tcPr>
            <w:tcW w:w="889" w:type="pct"/>
            <w:gridSpan w:val="2"/>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121°4′4.56095″</w:t>
            </w:r>
          </w:p>
        </w:tc>
        <w:tc>
          <w:tcPr>
            <w:tcW w:w="953" w:type="pct"/>
            <w:gridSpan w:val="3"/>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30°36′36.22185″</w:t>
            </w:r>
          </w:p>
        </w:tc>
        <w:tc>
          <w:tcPr>
            <w:tcW w:w="3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2520</w:t>
            </w:r>
          </w:p>
        </w:tc>
        <w:tc>
          <w:tcPr>
            <w:tcW w:w="244"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NE</w:t>
            </w:r>
          </w:p>
        </w:tc>
        <w:tc>
          <w:tcPr>
            <w:tcW w:w="6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居民，约4000人</w:t>
            </w:r>
          </w:p>
        </w:tc>
        <w:tc>
          <w:tcPr>
            <w:tcW w:w="254" w:type="pct"/>
            <w:vMerge w:val="continue"/>
            <w:vAlign w:val="center"/>
          </w:tcPr>
          <w:p>
            <w:pPr>
              <w:widowControl/>
              <w:adjustRightInd w:val="0"/>
              <w:snapToGrid w:val="0"/>
              <w:jc w:val="left"/>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262" w:type="pct"/>
            <w:vMerge w:val="continue"/>
            <w:vAlign w:val="center"/>
          </w:tcPr>
          <w:p>
            <w:pPr>
              <w:widowControl/>
              <w:adjustRightInd w:val="0"/>
              <w:snapToGrid w:val="0"/>
              <w:jc w:val="center"/>
              <w:rPr>
                <w:rFonts w:ascii="Times New Roman" w:hAnsi="Times New Roman" w:cs="Times New Roman"/>
                <w:kern w:val="0"/>
                <w:sz w:val="18"/>
                <w:szCs w:val="18"/>
              </w:rPr>
            </w:pPr>
          </w:p>
        </w:tc>
        <w:tc>
          <w:tcPr>
            <w:tcW w:w="252" w:type="pct"/>
            <w:vMerge w:val="continue"/>
            <w:vAlign w:val="center"/>
          </w:tcPr>
          <w:p>
            <w:pPr>
              <w:widowControl/>
              <w:adjustRightInd w:val="0"/>
              <w:snapToGrid w:val="0"/>
              <w:jc w:val="left"/>
              <w:rPr>
                <w:rFonts w:ascii="Times New Roman" w:hAnsi="Times New Roman" w:cs="Times New Roman"/>
                <w:kern w:val="0"/>
                <w:sz w:val="18"/>
                <w:szCs w:val="18"/>
              </w:rPr>
            </w:pPr>
          </w:p>
        </w:tc>
        <w:tc>
          <w:tcPr>
            <w:tcW w:w="226" w:type="pct"/>
            <w:vMerge w:val="continue"/>
            <w:vAlign w:val="center"/>
          </w:tcPr>
          <w:p>
            <w:pPr>
              <w:widowControl/>
              <w:adjustRightInd w:val="0"/>
              <w:snapToGrid w:val="0"/>
              <w:jc w:val="left"/>
              <w:rPr>
                <w:rFonts w:ascii="Times New Roman" w:hAnsi="Times New Roman" w:cs="Times New Roman"/>
                <w:kern w:val="0"/>
                <w:sz w:val="18"/>
                <w:szCs w:val="18"/>
              </w:rPr>
            </w:pPr>
          </w:p>
        </w:tc>
        <w:tc>
          <w:tcPr>
            <w:tcW w:w="376" w:type="pct"/>
            <w:vMerge w:val="continue"/>
            <w:vAlign w:val="center"/>
          </w:tcPr>
          <w:p>
            <w:pPr>
              <w:widowControl/>
              <w:adjustRightInd w:val="0"/>
              <w:snapToGrid w:val="0"/>
              <w:jc w:val="center"/>
              <w:rPr>
                <w:rFonts w:ascii="Times New Roman" w:hAnsi="Times New Roman" w:cs="Times New Roman"/>
                <w:kern w:val="0"/>
                <w:sz w:val="18"/>
                <w:szCs w:val="18"/>
              </w:rPr>
            </w:pPr>
          </w:p>
        </w:tc>
        <w:tc>
          <w:tcPr>
            <w:tcW w:w="472"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龙王公寓</w:t>
            </w:r>
          </w:p>
        </w:tc>
        <w:tc>
          <w:tcPr>
            <w:tcW w:w="889" w:type="pct"/>
            <w:gridSpan w:val="2"/>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121°4′5.99003″</w:t>
            </w:r>
          </w:p>
        </w:tc>
        <w:tc>
          <w:tcPr>
            <w:tcW w:w="953" w:type="pct"/>
            <w:gridSpan w:val="3"/>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30°36′20.79165″</w:t>
            </w:r>
          </w:p>
        </w:tc>
        <w:tc>
          <w:tcPr>
            <w:tcW w:w="3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2100</w:t>
            </w:r>
          </w:p>
        </w:tc>
        <w:tc>
          <w:tcPr>
            <w:tcW w:w="244"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NE</w:t>
            </w:r>
          </w:p>
        </w:tc>
        <w:tc>
          <w:tcPr>
            <w:tcW w:w="6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居民，约1000人</w:t>
            </w:r>
          </w:p>
        </w:tc>
        <w:tc>
          <w:tcPr>
            <w:tcW w:w="254" w:type="pct"/>
            <w:vMerge w:val="continue"/>
            <w:vAlign w:val="center"/>
          </w:tcPr>
          <w:p>
            <w:pPr>
              <w:widowControl/>
              <w:adjustRightInd w:val="0"/>
              <w:snapToGrid w:val="0"/>
              <w:jc w:val="left"/>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262" w:type="pct"/>
            <w:vMerge w:val="continue"/>
            <w:vAlign w:val="center"/>
          </w:tcPr>
          <w:p>
            <w:pPr>
              <w:widowControl/>
              <w:adjustRightInd w:val="0"/>
              <w:snapToGrid w:val="0"/>
              <w:jc w:val="center"/>
              <w:rPr>
                <w:rFonts w:ascii="Times New Roman" w:hAnsi="Times New Roman" w:cs="Times New Roman"/>
                <w:kern w:val="0"/>
                <w:sz w:val="18"/>
                <w:szCs w:val="18"/>
              </w:rPr>
            </w:pPr>
          </w:p>
        </w:tc>
        <w:tc>
          <w:tcPr>
            <w:tcW w:w="252" w:type="pct"/>
            <w:vMerge w:val="continue"/>
            <w:vAlign w:val="center"/>
          </w:tcPr>
          <w:p>
            <w:pPr>
              <w:widowControl/>
              <w:adjustRightInd w:val="0"/>
              <w:snapToGrid w:val="0"/>
              <w:jc w:val="left"/>
              <w:rPr>
                <w:rFonts w:ascii="Times New Roman" w:hAnsi="Times New Roman" w:cs="Times New Roman"/>
                <w:kern w:val="0"/>
                <w:sz w:val="18"/>
                <w:szCs w:val="18"/>
              </w:rPr>
            </w:pPr>
          </w:p>
        </w:tc>
        <w:tc>
          <w:tcPr>
            <w:tcW w:w="226" w:type="pct"/>
            <w:vMerge w:val="continue"/>
            <w:vAlign w:val="center"/>
          </w:tcPr>
          <w:p>
            <w:pPr>
              <w:widowControl/>
              <w:adjustRightInd w:val="0"/>
              <w:snapToGrid w:val="0"/>
              <w:jc w:val="left"/>
              <w:rPr>
                <w:rFonts w:ascii="Times New Roman" w:hAnsi="Times New Roman" w:cs="Times New Roman"/>
                <w:kern w:val="0"/>
                <w:sz w:val="18"/>
                <w:szCs w:val="18"/>
              </w:rPr>
            </w:pPr>
          </w:p>
        </w:tc>
        <w:tc>
          <w:tcPr>
            <w:tcW w:w="376" w:type="pct"/>
            <w:vMerge w:val="restart"/>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长丰社区</w:t>
            </w:r>
          </w:p>
        </w:tc>
        <w:tc>
          <w:tcPr>
            <w:tcW w:w="472"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长丰花苑</w:t>
            </w:r>
          </w:p>
        </w:tc>
        <w:tc>
          <w:tcPr>
            <w:tcW w:w="889" w:type="pct"/>
            <w:gridSpan w:val="2"/>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121°4′42.64402″</w:t>
            </w:r>
          </w:p>
        </w:tc>
        <w:tc>
          <w:tcPr>
            <w:tcW w:w="953" w:type="pct"/>
            <w:gridSpan w:val="3"/>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30°36′47.19102″</w:t>
            </w:r>
          </w:p>
        </w:tc>
        <w:tc>
          <w:tcPr>
            <w:tcW w:w="3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3310</w:t>
            </w:r>
          </w:p>
        </w:tc>
        <w:tc>
          <w:tcPr>
            <w:tcW w:w="244"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NE</w:t>
            </w:r>
          </w:p>
        </w:tc>
        <w:tc>
          <w:tcPr>
            <w:tcW w:w="6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居民，约3000人</w:t>
            </w:r>
          </w:p>
        </w:tc>
        <w:tc>
          <w:tcPr>
            <w:tcW w:w="254" w:type="pct"/>
            <w:vMerge w:val="continue"/>
            <w:vAlign w:val="center"/>
          </w:tcPr>
          <w:p>
            <w:pPr>
              <w:widowControl/>
              <w:adjustRightInd w:val="0"/>
              <w:snapToGrid w:val="0"/>
              <w:jc w:val="left"/>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262" w:type="pct"/>
            <w:vMerge w:val="continue"/>
            <w:vAlign w:val="center"/>
          </w:tcPr>
          <w:p>
            <w:pPr>
              <w:widowControl/>
              <w:adjustRightInd w:val="0"/>
              <w:snapToGrid w:val="0"/>
              <w:jc w:val="center"/>
              <w:rPr>
                <w:rFonts w:ascii="Times New Roman" w:hAnsi="Times New Roman" w:cs="Times New Roman"/>
                <w:kern w:val="0"/>
                <w:sz w:val="18"/>
                <w:szCs w:val="18"/>
              </w:rPr>
            </w:pPr>
          </w:p>
        </w:tc>
        <w:tc>
          <w:tcPr>
            <w:tcW w:w="252" w:type="pct"/>
            <w:vMerge w:val="continue"/>
            <w:vAlign w:val="center"/>
          </w:tcPr>
          <w:p>
            <w:pPr>
              <w:widowControl/>
              <w:adjustRightInd w:val="0"/>
              <w:snapToGrid w:val="0"/>
              <w:jc w:val="left"/>
              <w:rPr>
                <w:rFonts w:ascii="Times New Roman" w:hAnsi="Times New Roman" w:cs="Times New Roman"/>
                <w:kern w:val="0"/>
                <w:sz w:val="18"/>
                <w:szCs w:val="18"/>
              </w:rPr>
            </w:pPr>
          </w:p>
        </w:tc>
        <w:tc>
          <w:tcPr>
            <w:tcW w:w="226" w:type="pct"/>
            <w:vMerge w:val="continue"/>
            <w:vAlign w:val="center"/>
          </w:tcPr>
          <w:p>
            <w:pPr>
              <w:widowControl/>
              <w:adjustRightInd w:val="0"/>
              <w:snapToGrid w:val="0"/>
              <w:jc w:val="left"/>
              <w:rPr>
                <w:rFonts w:ascii="Times New Roman" w:hAnsi="Times New Roman" w:cs="Times New Roman"/>
                <w:kern w:val="0"/>
                <w:sz w:val="18"/>
                <w:szCs w:val="18"/>
              </w:rPr>
            </w:pPr>
          </w:p>
        </w:tc>
        <w:tc>
          <w:tcPr>
            <w:tcW w:w="376" w:type="pct"/>
            <w:vMerge w:val="continue"/>
            <w:vAlign w:val="center"/>
          </w:tcPr>
          <w:p>
            <w:pPr>
              <w:widowControl/>
              <w:adjustRightInd w:val="0"/>
              <w:snapToGrid w:val="0"/>
              <w:jc w:val="center"/>
              <w:rPr>
                <w:rFonts w:ascii="Times New Roman" w:hAnsi="Times New Roman" w:cs="Times New Roman"/>
                <w:kern w:val="0"/>
                <w:sz w:val="18"/>
                <w:szCs w:val="18"/>
              </w:rPr>
            </w:pPr>
          </w:p>
        </w:tc>
        <w:tc>
          <w:tcPr>
            <w:tcW w:w="472"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华浦港湾</w:t>
            </w:r>
          </w:p>
        </w:tc>
        <w:tc>
          <w:tcPr>
            <w:tcW w:w="889" w:type="pct"/>
            <w:gridSpan w:val="2"/>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121°4′43.33925″</w:t>
            </w:r>
          </w:p>
        </w:tc>
        <w:tc>
          <w:tcPr>
            <w:tcW w:w="953" w:type="pct"/>
            <w:gridSpan w:val="3"/>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30°36′39.36970″</w:t>
            </w:r>
          </w:p>
        </w:tc>
        <w:tc>
          <w:tcPr>
            <w:tcW w:w="3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3122</w:t>
            </w:r>
          </w:p>
        </w:tc>
        <w:tc>
          <w:tcPr>
            <w:tcW w:w="244"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NE</w:t>
            </w:r>
          </w:p>
        </w:tc>
        <w:tc>
          <w:tcPr>
            <w:tcW w:w="6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居民，约1000人</w:t>
            </w:r>
          </w:p>
        </w:tc>
        <w:tc>
          <w:tcPr>
            <w:tcW w:w="254" w:type="pct"/>
            <w:vMerge w:val="continue"/>
            <w:vAlign w:val="center"/>
          </w:tcPr>
          <w:p>
            <w:pPr>
              <w:widowControl/>
              <w:adjustRightInd w:val="0"/>
              <w:snapToGrid w:val="0"/>
              <w:jc w:val="left"/>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262" w:type="pct"/>
            <w:vMerge w:val="continue"/>
            <w:vAlign w:val="center"/>
          </w:tcPr>
          <w:p>
            <w:pPr>
              <w:widowControl/>
              <w:adjustRightInd w:val="0"/>
              <w:snapToGrid w:val="0"/>
              <w:jc w:val="center"/>
              <w:rPr>
                <w:rFonts w:ascii="Times New Roman" w:hAnsi="Times New Roman" w:cs="Times New Roman"/>
                <w:kern w:val="0"/>
                <w:sz w:val="18"/>
                <w:szCs w:val="18"/>
              </w:rPr>
            </w:pPr>
          </w:p>
        </w:tc>
        <w:tc>
          <w:tcPr>
            <w:tcW w:w="252" w:type="pct"/>
            <w:vMerge w:val="continue"/>
            <w:vAlign w:val="center"/>
          </w:tcPr>
          <w:p>
            <w:pPr>
              <w:widowControl/>
              <w:adjustRightInd w:val="0"/>
              <w:snapToGrid w:val="0"/>
              <w:jc w:val="left"/>
              <w:rPr>
                <w:rFonts w:ascii="Times New Roman" w:hAnsi="Times New Roman" w:cs="Times New Roman"/>
                <w:kern w:val="0"/>
                <w:sz w:val="18"/>
                <w:szCs w:val="18"/>
              </w:rPr>
            </w:pPr>
          </w:p>
        </w:tc>
        <w:tc>
          <w:tcPr>
            <w:tcW w:w="226" w:type="pct"/>
            <w:vMerge w:val="continue"/>
            <w:vAlign w:val="center"/>
          </w:tcPr>
          <w:p>
            <w:pPr>
              <w:widowControl/>
              <w:adjustRightInd w:val="0"/>
              <w:snapToGrid w:val="0"/>
              <w:jc w:val="left"/>
              <w:rPr>
                <w:rFonts w:ascii="Times New Roman" w:hAnsi="Times New Roman" w:cs="Times New Roman"/>
                <w:kern w:val="0"/>
                <w:sz w:val="18"/>
                <w:szCs w:val="18"/>
              </w:rPr>
            </w:pPr>
          </w:p>
        </w:tc>
        <w:tc>
          <w:tcPr>
            <w:tcW w:w="376"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中山社区</w:t>
            </w:r>
          </w:p>
        </w:tc>
        <w:tc>
          <w:tcPr>
            <w:tcW w:w="472"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中山花苑</w:t>
            </w:r>
          </w:p>
        </w:tc>
        <w:tc>
          <w:tcPr>
            <w:tcW w:w="889" w:type="pct"/>
            <w:gridSpan w:val="2"/>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121°4′55.69887″</w:t>
            </w:r>
          </w:p>
        </w:tc>
        <w:tc>
          <w:tcPr>
            <w:tcW w:w="953" w:type="pct"/>
            <w:gridSpan w:val="3"/>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30°36′48.81322″</w:t>
            </w:r>
          </w:p>
        </w:tc>
        <w:tc>
          <w:tcPr>
            <w:tcW w:w="3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3567</w:t>
            </w:r>
          </w:p>
        </w:tc>
        <w:tc>
          <w:tcPr>
            <w:tcW w:w="244"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NE</w:t>
            </w:r>
          </w:p>
        </w:tc>
        <w:tc>
          <w:tcPr>
            <w:tcW w:w="6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居民，约3000人</w:t>
            </w:r>
          </w:p>
        </w:tc>
        <w:tc>
          <w:tcPr>
            <w:tcW w:w="254" w:type="pct"/>
            <w:vMerge w:val="continue"/>
            <w:vAlign w:val="center"/>
          </w:tcPr>
          <w:p>
            <w:pPr>
              <w:widowControl/>
              <w:adjustRightInd w:val="0"/>
              <w:snapToGrid w:val="0"/>
              <w:jc w:val="left"/>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262" w:type="pct"/>
            <w:vMerge w:val="continue"/>
            <w:vAlign w:val="center"/>
          </w:tcPr>
          <w:p>
            <w:pPr>
              <w:widowControl/>
              <w:adjustRightInd w:val="0"/>
              <w:snapToGrid w:val="0"/>
              <w:jc w:val="center"/>
              <w:rPr>
                <w:rFonts w:ascii="Times New Roman" w:hAnsi="Times New Roman" w:cs="Times New Roman"/>
                <w:kern w:val="0"/>
                <w:sz w:val="18"/>
                <w:szCs w:val="18"/>
              </w:rPr>
            </w:pPr>
          </w:p>
        </w:tc>
        <w:tc>
          <w:tcPr>
            <w:tcW w:w="252" w:type="pct"/>
            <w:vMerge w:val="continue"/>
            <w:vAlign w:val="center"/>
          </w:tcPr>
          <w:p>
            <w:pPr>
              <w:widowControl/>
              <w:adjustRightInd w:val="0"/>
              <w:snapToGrid w:val="0"/>
              <w:jc w:val="left"/>
              <w:rPr>
                <w:rFonts w:ascii="Times New Roman" w:hAnsi="Times New Roman" w:cs="Times New Roman"/>
                <w:kern w:val="0"/>
                <w:sz w:val="18"/>
                <w:szCs w:val="18"/>
              </w:rPr>
            </w:pPr>
          </w:p>
        </w:tc>
        <w:tc>
          <w:tcPr>
            <w:tcW w:w="226" w:type="pct"/>
            <w:vMerge w:val="continue"/>
            <w:vAlign w:val="center"/>
          </w:tcPr>
          <w:p>
            <w:pPr>
              <w:widowControl/>
              <w:adjustRightInd w:val="0"/>
              <w:snapToGrid w:val="0"/>
              <w:jc w:val="left"/>
              <w:rPr>
                <w:rFonts w:ascii="Times New Roman" w:hAnsi="Times New Roman" w:cs="Times New Roman"/>
                <w:kern w:val="0"/>
                <w:sz w:val="18"/>
                <w:szCs w:val="18"/>
              </w:rPr>
            </w:pPr>
          </w:p>
        </w:tc>
        <w:tc>
          <w:tcPr>
            <w:tcW w:w="849" w:type="pct"/>
            <w:gridSpan w:val="2"/>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先锋村</w:t>
            </w:r>
          </w:p>
        </w:tc>
        <w:tc>
          <w:tcPr>
            <w:tcW w:w="889" w:type="pct"/>
            <w:gridSpan w:val="2"/>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121°4′58.76946″</w:t>
            </w:r>
          </w:p>
        </w:tc>
        <w:tc>
          <w:tcPr>
            <w:tcW w:w="953" w:type="pct"/>
            <w:gridSpan w:val="3"/>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30°36′25.87068″</w:t>
            </w:r>
          </w:p>
        </w:tc>
        <w:tc>
          <w:tcPr>
            <w:tcW w:w="3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3120</w:t>
            </w:r>
          </w:p>
        </w:tc>
        <w:tc>
          <w:tcPr>
            <w:tcW w:w="244"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NE</w:t>
            </w:r>
          </w:p>
        </w:tc>
        <w:tc>
          <w:tcPr>
            <w:tcW w:w="6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居民，约1222人</w:t>
            </w:r>
          </w:p>
        </w:tc>
        <w:tc>
          <w:tcPr>
            <w:tcW w:w="254" w:type="pct"/>
            <w:vMerge w:val="continue"/>
            <w:vAlign w:val="center"/>
          </w:tcPr>
          <w:p>
            <w:pPr>
              <w:widowControl/>
              <w:adjustRightInd w:val="0"/>
              <w:snapToGrid w:val="0"/>
              <w:jc w:val="left"/>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262" w:type="pct"/>
            <w:vMerge w:val="continue"/>
            <w:vAlign w:val="center"/>
          </w:tcPr>
          <w:p>
            <w:pPr>
              <w:widowControl/>
              <w:adjustRightInd w:val="0"/>
              <w:snapToGrid w:val="0"/>
              <w:jc w:val="center"/>
              <w:rPr>
                <w:rFonts w:ascii="Times New Roman" w:hAnsi="Times New Roman" w:cs="Times New Roman"/>
                <w:kern w:val="0"/>
                <w:sz w:val="18"/>
                <w:szCs w:val="18"/>
              </w:rPr>
            </w:pPr>
          </w:p>
        </w:tc>
        <w:tc>
          <w:tcPr>
            <w:tcW w:w="252" w:type="pct"/>
            <w:vMerge w:val="continue"/>
            <w:vAlign w:val="center"/>
          </w:tcPr>
          <w:p>
            <w:pPr>
              <w:widowControl/>
              <w:adjustRightInd w:val="0"/>
              <w:snapToGrid w:val="0"/>
              <w:jc w:val="left"/>
              <w:rPr>
                <w:rFonts w:ascii="Times New Roman" w:hAnsi="Times New Roman" w:cs="Times New Roman"/>
                <w:kern w:val="0"/>
                <w:sz w:val="18"/>
                <w:szCs w:val="18"/>
              </w:rPr>
            </w:pPr>
          </w:p>
        </w:tc>
        <w:tc>
          <w:tcPr>
            <w:tcW w:w="226" w:type="pct"/>
            <w:vMerge w:val="continue"/>
            <w:vAlign w:val="center"/>
          </w:tcPr>
          <w:p>
            <w:pPr>
              <w:widowControl/>
              <w:adjustRightInd w:val="0"/>
              <w:snapToGrid w:val="0"/>
              <w:jc w:val="left"/>
              <w:rPr>
                <w:rFonts w:ascii="Times New Roman" w:hAnsi="Times New Roman" w:cs="Times New Roman"/>
                <w:kern w:val="0"/>
                <w:sz w:val="18"/>
                <w:szCs w:val="18"/>
              </w:rPr>
            </w:pPr>
          </w:p>
        </w:tc>
        <w:tc>
          <w:tcPr>
            <w:tcW w:w="849" w:type="pct"/>
            <w:gridSpan w:val="2"/>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建港一村</w:t>
            </w:r>
          </w:p>
        </w:tc>
        <w:tc>
          <w:tcPr>
            <w:tcW w:w="889" w:type="pct"/>
            <w:gridSpan w:val="2"/>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121°4′48.81418″</w:t>
            </w:r>
          </w:p>
        </w:tc>
        <w:tc>
          <w:tcPr>
            <w:tcW w:w="953" w:type="pct"/>
            <w:gridSpan w:val="3"/>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30°36′11.31916″</w:t>
            </w:r>
          </w:p>
        </w:tc>
        <w:tc>
          <w:tcPr>
            <w:tcW w:w="3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2634</w:t>
            </w:r>
          </w:p>
        </w:tc>
        <w:tc>
          <w:tcPr>
            <w:tcW w:w="244"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NE</w:t>
            </w:r>
          </w:p>
        </w:tc>
        <w:tc>
          <w:tcPr>
            <w:tcW w:w="6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居民，约290人</w:t>
            </w:r>
          </w:p>
        </w:tc>
        <w:tc>
          <w:tcPr>
            <w:tcW w:w="254" w:type="pct"/>
            <w:vMerge w:val="continue"/>
            <w:vAlign w:val="center"/>
          </w:tcPr>
          <w:p>
            <w:pPr>
              <w:widowControl/>
              <w:adjustRightInd w:val="0"/>
              <w:snapToGrid w:val="0"/>
              <w:jc w:val="left"/>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262" w:type="pct"/>
            <w:vMerge w:val="continue"/>
            <w:vAlign w:val="center"/>
          </w:tcPr>
          <w:p>
            <w:pPr>
              <w:widowControl/>
              <w:adjustRightInd w:val="0"/>
              <w:snapToGrid w:val="0"/>
              <w:jc w:val="center"/>
              <w:rPr>
                <w:rFonts w:ascii="Times New Roman" w:hAnsi="Times New Roman" w:cs="Times New Roman"/>
                <w:kern w:val="0"/>
                <w:sz w:val="18"/>
                <w:szCs w:val="18"/>
              </w:rPr>
            </w:pPr>
          </w:p>
        </w:tc>
        <w:tc>
          <w:tcPr>
            <w:tcW w:w="252" w:type="pct"/>
            <w:vMerge w:val="continue"/>
            <w:vAlign w:val="center"/>
          </w:tcPr>
          <w:p>
            <w:pPr>
              <w:widowControl/>
              <w:adjustRightInd w:val="0"/>
              <w:snapToGrid w:val="0"/>
              <w:jc w:val="left"/>
              <w:rPr>
                <w:rFonts w:ascii="Times New Roman" w:hAnsi="Times New Roman" w:cs="Times New Roman"/>
                <w:kern w:val="0"/>
                <w:sz w:val="18"/>
                <w:szCs w:val="18"/>
              </w:rPr>
            </w:pPr>
          </w:p>
        </w:tc>
        <w:tc>
          <w:tcPr>
            <w:tcW w:w="226" w:type="pct"/>
            <w:vMerge w:val="continue"/>
            <w:vAlign w:val="center"/>
          </w:tcPr>
          <w:p>
            <w:pPr>
              <w:widowControl/>
              <w:adjustRightInd w:val="0"/>
              <w:snapToGrid w:val="0"/>
              <w:jc w:val="left"/>
              <w:rPr>
                <w:rFonts w:ascii="Times New Roman" w:hAnsi="Times New Roman" w:cs="Times New Roman"/>
                <w:kern w:val="0"/>
                <w:sz w:val="18"/>
                <w:szCs w:val="18"/>
              </w:rPr>
            </w:pPr>
          </w:p>
        </w:tc>
        <w:tc>
          <w:tcPr>
            <w:tcW w:w="849" w:type="pct"/>
            <w:gridSpan w:val="2"/>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建港二村</w:t>
            </w:r>
          </w:p>
        </w:tc>
        <w:tc>
          <w:tcPr>
            <w:tcW w:w="889" w:type="pct"/>
            <w:gridSpan w:val="2"/>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121°4′47.87755″</w:t>
            </w:r>
          </w:p>
        </w:tc>
        <w:tc>
          <w:tcPr>
            <w:tcW w:w="953" w:type="pct"/>
            <w:gridSpan w:val="3"/>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30°36′19.11151″</w:t>
            </w:r>
          </w:p>
        </w:tc>
        <w:tc>
          <w:tcPr>
            <w:tcW w:w="3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2770</w:t>
            </w:r>
          </w:p>
        </w:tc>
        <w:tc>
          <w:tcPr>
            <w:tcW w:w="244"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NE</w:t>
            </w:r>
          </w:p>
        </w:tc>
        <w:tc>
          <w:tcPr>
            <w:tcW w:w="6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居民，约130人</w:t>
            </w:r>
          </w:p>
        </w:tc>
        <w:tc>
          <w:tcPr>
            <w:tcW w:w="254" w:type="pct"/>
            <w:vMerge w:val="continue"/>
            <w:vAlign w:val="center"/>
          </w:tcPr>
          <w:p>
            <w:pPr>
              <w:widowControl/>
              <w:adjustRightInd w:val="0"/>
              <w:snapToGrid w:val="0"/>
              <w:jc w:val="left"/>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262" w:type="pct"/>
            <w:vMerge w:val="continue"/>
            <w:vAlign w:val="center"/>
          </w:tcPr>
          <w:p>
            <w:pPr>
              <w:widowControl/>
              <w:adjustRightInd w:val="0"/>
              <w:snapToGrid w:val="0"/>
              <w:jc w:val="center"/>
              <w:rPr>
                <w:rFonts w:ascii="Times New Roman" w:hAnsi="Times New Roman" w:cs="Times New Roman"/>
                <w:kern w:val="0"/>
                <w:sz w:val="18"/>
                <w:szCs w:val="18"/>
              </w:rPr>
            </w:pPr>
          </w:p>
        </w:tc>
        <w:tc>
          <w:tcPr>
            <w:tcW w:w="252" w:type="pct"/>
            <w:vMerge w:val="continue"/>
            <w:vAlign w:val="center"/>
          </w:tcPr>
          <w:p>
            <w:pPr>
              <w:widowControl/>
              <w:adjustRightInd w:val="0"/>
              <w:snapToGrid w:val="0"/>
              <w:jc w:val="left"/>
              <w:rPr>
                <w:rFonts w:ascii="Times New Roman" w:hAnsi="Times New Roman" w:cs="Times New Roman"/>
                <w:kern w:val="0"/>
                <w:sz w:val="18"/>
                <w:szCs w:val="18"/>
              </w:rPr>
            </w:pPr>
          </w:p>
        </w:tc>
        <w:tc>
          <w:tcPr>
            <w:tcW w:w="226" w:type="pct"/>
            <w:vMerge w:val="continue"/>
            <w:vAlign w:val="center"/>
          </w:tcPr>
          <w:p>
            <w:pPr>
              <w:widowControl/>
              <w:adjustRightInd w:val="0"/>
              <w:snapToGrid w:val="0"/>
              <w:jc w:val="left"/>
              <w:rPr>
                <w:rFonts w:ascii="Times New Roman" w:hAnsi="Times New Roman" w:cs="Times New Roman"/>
                <w:kern w:val="0"/>
                <w:sz w:val="18"/>
                <w:szCs w:val="18"/>
              </w:rPr>
            </w:pPr>
          </w:p>
        </w:tc>
        <w:tc>
          <w:tcPr>
            <w:tcW w:w="849" w:type="pct"/>
            <w:gridSpan w:val="2"/>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星海湾</w:t>
            </w:r>
          </w:p>
        </w:tc>
        <w:tc>
          <w:tcPr>
            <w:tcW w:w="889" w:type="pct"/>
            <w:gridSpan w:val="2"/>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121°4′53.03383″</w:t>
            </w:r>
          </w:p>
        </w:tc>
        <w:tc>
          <w:tcPr>
            <w:tcW w:w="953" w:type="pct"/>
            <w:gridSpan w:val="3"/>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30°36′4.88830″</w:t>
            </w:r>
          </w:p>
        </w:tc>
        <w:tc>
          <w:tcPr>
            <w:tcW w:w="3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2500</w:t>
            </w:r>
          </w:p>
        </w:tc>
        <w:tc>
          <w:tcPr>
            <w:tcW w:w="244"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NE</w:t>
            </w:r>
          </w:p>
        </w:tc>
        <w:tc>
          <w:tcPr>
            <w:tcW w:w="6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居民，约1000人</w:t>
            </w:r>
          </w:p>
        </w:tc>
        <w:tc>
          <w:tcPr>
            <w:tcW w:w="254" w:type="pct"/>
            <w:vMerge w:val="continue"/>
            <w:vAlign w:val="center"/>
          </w:tcPr>
          <w:p>
            <w:pPr>
              <w:widowControl/>
              <w:adjustRightInd w:val="0"/>
              <w:snapToGrid w:val="0"/>
              <w:jc w:val="left"/>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262" w:type="pct"/>
            <w:vMerge w:val="continue"/>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荷花池</w:t>
            </w:r>
          </w:p>
        </w:tc>
        <w:tc>
          <w:tcPr>
            <w:tcW w:w="252" w:type="pct"/>
            <w:vMerge w:val="continue"/>
            <w:vAlign w:val="center"/>
          </w:tcPr>
          <w:p>
            <w:pPr>
              <w:widowControl/>
              <w:adjustRightInd w:val="0"/>
              <w:snapToGrid w:val="0"/>
              <w:jc w:val="left"/>
              <w:rPr>
                <w:rFonts w:ascii="Times New Roman" w:hAnsi="Times New Roman" w:cs="Times New Roman"/>
                <w:kern w:val="0"/>
                <w:sz w:val="18"/>
                <w:szCs w:val="18"/>
              </w:rPr>
            </w:pPr>
          </w:p>
        </w:tc>
        <w:tc>
          <w:tcPr>
            <w:tcW w:w="226" w:type="pct"/>
            <w:vMerge w:val="continue"/>
            <w:vAlign w:val="center"/>
          </w:tcPr>
          <w:p>
            <w:pPr>
              <w:widowControl/>
              <w:adjustRightInd w:val="0"/>
              <w:snapToGrid w:val="0"/>
              <w:jc w:val="left"/>
              <w:rPr>
                <w:rFonts w:ascii="Times New Roman" w:hAnsi="Times New Roman" w:cs="Times New Roman"/>
                <w:kern w:val="0"/>
                <w:sz w:val="18"/>
                <w:szCs w:val="18"/>
              </w:rPr>
            </w:pPr>
          </w:p>
        </w:tc>
        <w:tc>
          <w:tcPr>
            <w:tcW w:w="849" w:type="pct"/>
            <w:gridSpan w:val="2"/>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荷花池小区</w:t>
            </w:r>
          </w:p>
        </w:tc>
        <w:tc>
          <w:tcPr>
            <w:tcW w:w="889" w:type="pct"/>
            <w:gridSpan w:val="2"/>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121°4′59.19433″</w:t>
            </w:r>
          </w:p>
        </w:tc>
        <w:tc>
          <w:tcPr>
            <w:tcW w:w="953" w:type="pct"/>
            <w:gridSpan w:val="3"/>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30°36′10.25700″</w:t>
            </w:r>
          </w:p>
        </w:tc>
        <w:tc>
          <w:tcPr>
            <w:tcW w:w="3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2836</w:t>
            </w:r>
          </w:p>
        </w:tc>
        <w:tc>
          <w:tcPr>
            <w:tcW w:w="244"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NE</w:t>
            </w:r>
          </w:p>
        </w:tc>
        <w:tc>
          <w:tcPr>
            <w:tcW w:w="6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居民，约200人</w:t>
            </w:r>
          </w:p>
        </w:tc>
        <w:tc>
          <w:tcPr>
            <w:tcW w:w="254" w:type="pct"/>
            <w:vMerge w:val="continue"/>
            <w:vAlign w:val="center"/>
          </w:tcPr>
          <w:p>
            <w:pPr>
              <w:widowControl/>
              <w:adjustRightInd w:val="0"/>
              <w:snapToGrid w:val="0"/>
              <w:jc w:val="left"/>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262" w:type="pct"/>
            <w:vMerge w:val="continue"/>
            <w:vAlign w:val="center"/>
          </w:tcPr>
          <w:p>
            <w:pPr>
              <w:widowControl/>
              <w:adjustRightInd w:val="0"/>
              <w:snapToGrid w:val="0"/>
              <w:jc w:val="center"/>
              <w:rPr>
                <w:rFonts w:ascii="Times New Roman" w:hAnsi="Times New Roman" w:cs="Times New Roman"/>
                <w:kern w:val="0"/>
                <w:sz w:val="18"/>
                <w:szCs w:val="18"/>
              </w:rPr>
            </w:pPr>
          </w:p>
        </w:tc>
        <w:tc>
          <w:tcPr>
            <w:tcW w:w="252" w:type="pct"/>
            <w:vMerge w:val="continue"/>
            <w:vAlign w:val="center"/>
          </w:tcPr>
          <w:p>
            <w:pPr>
              <w:widowControl/>
              <w:adjustRightInd w:val="0"/>
              <w:snapToGrid w:val="0"/>
              <w:jc w:val="left"/>
              <w:rPr>
                <w:rFonts w:ascii="Times New Roman" w:hAnsi="Times New Roman" w:cs="Times New Roman"/>
                <w:kern w:val="0"/>
                <w:sz w:val="18"/>
                <w:szCs w:val="18"/>
              </w:rPr>
            </w:pPr>
          </w:p>
        </w:tc>
        <w:tc>
          <w:tcPr>
            <w:tcW w:w="226" w:type="pct"/>
            <w:vMerge w:val="continue"/>
            <w:vAlign w:val="center"/>
          </w:tcPr>
          <w:p>
            <w:pPr>
              <w:widowControl/>
              <w:adjustRightInd w:val="0"/>
              <w:snapToGrid w:val="0"/>
              <w:jc w:val="left"/>
              <w:rPr>
                <w:rFonts w:ascii="Times New Roman" w:hAnsi="Times New Roman" w:cs="Times New Roman"/>
                <w:kern w:val="0"/>
                <w:sz w:val="18"/>
                <w:szCs w:val="18"/>
              </w:rPr>
            </w:pPr>
          </w:p>
        </w:tc>
        <w:tc>
          <w:tcPr>
            <w:tcW w:w="849" w:type="pct"/>
            <w:gridSpan w:val="2"/>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银杏园</w:t>
            </w:r>
          </w:p>
        </w:tc>
        <w:tc>
          <w:tcPr>
            <w:tcW w:w="889" w:type="pct"/>
            <w:gridSpan w:val="2"/>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121°4′59.92818″</w:t>
            </w:r>
          </w:p>
        </w:tc>
        <w:tc>
          <w:tcPr>
            <w:tcW w:w="953" w:type="pct"/>
            <w:gridSpan w:val="3"/>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30°36′20.27023″</w:t>
            </w:r>
          </w:p>
        </w:tc>
        <w:tc>
          <w:tcPr>
            <w:tcW w:w="3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3037</w:t>
            </w:r>
          </w:p>
        </w:tc>
        <w:tc>
          <w:tcPr>
            <w:tcW w:w="244"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NE</w:t>
            </w:r>
          </w:p>
        </w:tc>
        <w:tc>
          <w:tcPr>
            <w:tcW w:w="6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居民，约200人</w:t>
            </w:r>
          </w:p>
        </w:tc>
        <w:tc>
          <w:tcPr>
            <w:tcW w:w="254" w:type="pct"/>
            <w:vMerge w:val="continue"/>
            <w:vAlign w:val="center"/>
          </w:tcPr>
          <w:p>
            <w:pPr>
              <w:widowControl/>
              <w:adjustRightInd w:val="0"/>
              <w:snapToGrid w:val="0"/>
              <w:jc w:val="left"/>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262" w:type="pct"/>
            <w:vMerge w:val="continue"/>
            <w:vAlign w:val="center"/>
          </w:tcPr>
          <w:p>
            <w:pPr>
              <w:widowControl/>
              <w:adjustRightInd w:val="0"/>
              <w:snapToGrid w:val="0"/>
              <w:jc w:val="center"/>
              <w:rPr>
                <w:rFonts w:ascii="Times New Roman" w:hAnsi="Times New Roman" w:cs="Times New Roman"/>
                <w:kern w:val="0"/>
                <w:sz w:val="18"/>
                <w:szCs w:val="18"/>
              </w:rPr>
            </w:pPr>
          </w:p>
        </w:tc>
        <w:tc>
          <w:tcPr>
            <w:tcW w:w="252" w:type="pct"/>
            <w:vMerge w:val="continue"/>
            <w:vAlign w:val="center"/>
          </w:tcPr>
          <w:p>
            <w:pPr>
              <w:widowControl/>
              <w:adjustRightInd w:val="0"/>
              <w:snapToGrid w:val="0"/>
              <w:jc w:val="left"/>
              <w:rPr>
                <w:rFonts w:ascii="Times New Roman" w:hAnsi="Times New Roman" w:cs="Times New Roman"/>
                <w:kern w:val="0"/>
                <w:sz w:val="18"/>
                <w:szCs w:val="18"/>
              </w:rPr>
            </w:pPr>
          </w:p>
        </w:tc>
        <w:tc>
          <w:tcPr>
            <w:tcW w:w="226" w:type="pct"/>
            <w:vMerge w:val="continue"/>
            <w:vAlign w:val="center"/>
          </w:tcPr>
          <w:p>
            <w:pPr>
              <w:widowControl/>
              <w:adjustRightInd w:val="0"/>
              <w:snapToGrid w:val="0"/>
              <w:jc w:val="left"/>
              <w:rPr>
                <w:rFonts w:ascii="Times New Roman" w:hAnsi="Times New Roman" w:cs="Times New Roman"/>
                <w:kern w:val="0"/>
                <w:sz w:val="18"/>
                <w:szCs w:val="18"/>
              </w:rPr>
            </w:pPr>
          </w:p>
        </w:tc>
        <w:tc>
          <w:tcPr>
            <w:tcW w:w="849" w:type="pct"/>
            <w:gridSpan w:val="2"/>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开心幼儿园</w:t>
            </w:r>
          </w:p>
        </w:tc>
        <w:tc>
          <w:tcPr>
            <w:tcW w:w="889" w:type="pct"/>
            <w:gridSpan w:val="2"/>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121°4′8.23021″</w:t>
            </w:r>
          </w:p>
        </w:tc>
        <w:tc>
          <w:tcPr>
            <w:tcW w:w="953" w:type="pct"/>
            <w:gridSpan w:val="3"/>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30°36′36.60810″</w:t>
            </w:r>
          </w:p>
        </w:tc>
        <w:tc>
          <w:tcPr>
            <w:tcW w:w="3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2573</w:t>
            </w:r>
          </w:p>
        </w:tc>
        <w:tc>
          <w:tcPr>
            <w:tcW w:w="244"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NE</w:t>
            </w:r>
          </w:p>
        </w:tc>
        <w:tc>
          <w:tcPr>
            <w:tcW w:w="6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居民，约200人</w:t>
            </w:r>
          </w:p>
        </w:tc>
        <w:tc>
          <w:tcPr>
            <w:tcW w:w="254" w:type="pct"/>
            <w:vMerge w:val="continue"/>
            <w:vAlign w:val="center"/>
          </w:tcPr>
          <w:p>
            <w:pPr>
              <w:widowControl/>
              <w:adjustRightInd w:val="0"/>
              <w:snapToGrid w:val="0"/>
              <w:jc w:val="left"/>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262" w:type="pct"/>
            <w:vMerge w:val="continue"/>
            <w:vAlign w:val="center"/>
          </w:tcPr>
          <w:p>
            <w:pPr>
              <w:widowControl/>
              <w:adjustRightInd w:val="0"/>
              <w:snapToGrid w:val="0"/>
              <w:jc w:val="center"/>
              <w:rPr>
                <w:rFonts w:ascii="Times New Roman" w:hAnsi="Times New Roman" w:cs="Times New Roman"/>
                <w:kern w:val="0"/>
                <w:sz w:val="18"/>
                <w:szCs w:val="18"/>
              </w:rPr>
            </w:pPr>
          </w:p>
        </w:tc>
        <w:tc>
          <w:tcPr>
            <w:tcW w:w="252" w:type="pct"/>
            <w:vMerge w:val="continue"/>
            <w:vAlign w:val="center"/>
          </w:tcPr>
          <w:p>
            <w:pPr>
              <w:widowControl/>
              <w:adjustRightInd w:val="0"/>
              <w:snapToGrid w:val="0"/>
              <w:jc w:val="left"/>
              <w:rPr>
                <w:rFonts w:ascii="Times New Roman" w:hAnsi="Times New Roman" w:cs="Times New Roman"/>
                <w:kern w:val="0"/>
                <w:sz w:val="18"/>
                <w:szCs w:val="18"/>
              </w:rPr>
            </w:pPr>
          </w:p>
        </w:tc>
        <w:tc>
          <w:tcPr>
            <w:tcW w:w="226" w:type="pct"/>
            <w:vMerge w:val="continue"/>
            <w:vAlign w:val="center"/>
          </w:tcPr>
          <w:p>
            <w:pPr>
              <w:widowControl/>
              <w:adjustRightInd w:val="0"/>
              <w:snapToGrid w:val="0"/>
              <w:jc w:val="left"/>
              <w:rPr>
                <w:rFonts w:ascii="Times New Roman" w:hAnsi="Times New Roman" w:cs="Times New Roman"/>
                <w:kern w:val="0"/>
                <w:sz w:val="18"/>
                <w:szCs w:val="18"/>
              </w:rPr>
            </w:pPr>
          </w:p>
        </w:tc>
        <w:tc>
          <w:tcPr>
            <w:tcW w:w="849" w:type="pct"/>
            <w:gridSpan w:val="2"/>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平湖市乍浦小学</w:t>
            </w:r>
          </w:p>
        </w:tc>
        <w:tc>
          <w:tcPr>
            <w:tcW w:w="889" w:type="pct"/>
            <w:gridSpan w:val="2"/>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121°4′46.13948″</w:t>
            </w:r>
          </w:p>
        </w:tc>
        <w:tc>
          <w:tcPr>
            <w:tcW w:w="953" w:type="pct"/>
            <w:gridSpan w:val="3"/>
            <w:shd w:val="clear" w:color="auto" w:fill="auto"/>
            <w:vAlign w:val="center"/>
          </w:tcPr>
          <w:p>
            <w:pPr>
              <w:widowControl/>
              <w:adjustRightInd w:val="0"/>
              <w:snapToGrid w:val="0"/>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30°36′32.10843″</w:t>
            </w:r>
          </w:p>
        </w:tc>
        <w:tc>
          <w:tcPr>
            <w:tcW w:w="3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3014</w:t>
            </w:r>
          </w:p>
        </w:tc>
        <w:tc>
          <w:tcPr>
            <w:tcW w:w="244"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NE</w:t>
            </w:r>
          </w:p>
        </w:tc>
        <w:tc>
          <w:tcPr>
            <w:tcW w:w="683"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居民，约2000人</w:t>
            </w:r>
          </w:p>
        </w:tc>
        <w:tc>
          <w:tcPr>
            <w:tcW w:w="254" w:type="pct"/>
            <w:vMerge w:val="continue"/>
            <w:vAlign w:val="center"/>
          </w:tcPr>
          <w:p>
            <w:pPr>
              <w:widowControl/>
              <w:adjustRightInd w:val="0"/>
              <w:snapToGrid w:val="0"/>
              <w:jc w:val="left"/>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262"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声环境</w:t>
            </w:r>
          </w:p>
        </w:tc>
        <w:tc>
          <w:tcPr>
            <w:tcW w:w="252"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嘉兴市</w:t>
            </w:r>
          </w:p>
        </w:tc>
        <w:tc>
          <w:tcPr>
            <w:tcW w:w="226"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乍浦镇</w:t>
            </w:r>
          </w:p>
        </w:tc>
        <w:tc>
          <w:tcPr>
            <w:tcW w:w="3320" w:type="pct"/>
            <w:gridSpan w:val="9"/>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厂界外200m范围</w:t>
            </w:r>
          </w:p>
        </w:tc>
        <w:tc>
          <w:tcPr>
            <w:tcW w:w="938" w:type="pct"/>
            <w:gridSpan w:val="2"/>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GB3096-20083类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262" w:type="pct"/>
            <w:vMerge w:val="restart"/>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地表水环境</w:t>
            </w:r>
          </w:p>
        </w:tc>
        <w:tc>
          <w:tcPr>
            <w:tcW w:w="1696" w:type="pct"/>
            <w:gridSpan w:val="5"/>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乍浦塘支流</w:t>
            </w:r>
          </w:p>
        </w:tc>
        <w:tc>
          <w:tcPr>
            <w:tcW w:w="608" w:type="pct"/>
            <w:gridSpan w:val="2"/>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780</w:t>
            </w:r>
          </w:p>
        </w:tc>
        <w:tc>
          <w:tcPr>
            <w:tcW w:w="842"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N</w:t>
            </w:r>
          </w:p>
        </w:tc>
        <w:tc>
          <w:tcPr>
            <w:tcW w:w="651" w:type="pct"/>
            <w:gridSpan w:val="3"/>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河宽约6m</w:t>
            </w:r>
          </w:p>
        </w:tc>
        <w:tc>
          <w:tcPr>
            <w:tcW w:w="938" w:type="pct"/>
            <w:gridSpan w:val="2"/>
            <w:vMerge w:val="restart"/>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参考GB3838-2002 III类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262" w:type="pct"/>
            <w:vMerge w:val="continue"/>
            <w:vAlign w:val="center"/>
          </w:tcPr>
          <w:p>
            <w:pPr>
              <w:widowControl/>
              <w:adjustRightInd w:val="0"/>
              <w:snapToGrid w:val="0"/>
              <w:jc w:val="center"/>
              <w:rPr>
                <w:rFonts w:ascii="Times New Roman" w:hAnsi="Times New Roman" w:cs="Times New Roman"/>
                <w:kern w:val="0"/>
                <w:sz w:val="18"/>
                <w:szCs w:val="18"/>
              </w:rPr>
            </w:pPr>
          </w:p>
        </w:tc>
        <w:tc>
          <w:tcPr>
            <w:tcW w:w="1696" w:type="pct"/>
            <w:gridSpan w:val="5"/>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乍浦塘</w:t>
            </w:r>
          </w:p>
        </w:tc>
        <w:tc>
          <w:tcPr>
            <w:tcW w:w="608" w:type="pct"/>
            <w:gridSpan w:val="2"/>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1750</w:t>
            </w:r>
          </w:p>
        </w:tc>
        <w:tc>
          <w:tcPr>
            <w:tcW w:w="842"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NE</w:t>
            </w:r>
          </w:p>
        </w:tc>
        <w:tc>
          <w:tcPr>
            <w:tcW w:w="651" w:type="pct"/>
            <w:gridSpan w:val="3"/>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河宽约90m</w:t>
            </w:r>
          </w:p>
        </w:tc>
        <w:tc>
          <w:tcPr>
            <w:tcW w:w="938" w:type="pct"/>
            <w:gridSpan w:val="2"/>
            <w:vMerge w:val="continue"/>
            <w:shd w:val="clear" w:color="auto" w:fill="auto"/>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262" w:type="pct"/>
            <w:vMerge w:val="continue"/>
            <w:vAlign w:val="center"/>
          </w:tcPr>
          <w:p>
            <w:pPr>
              <w:widowControl/>
              <w:adjustRightInd w:val="0"/>
              <w:snapToGrid w:val="0"/>
              <w:jc w:val="center"/>
              <w:rPr>
                <w:rFonts w:ascii="Times New Roman" w:hAnsi="Times New Roman" w:cs="Times New Roman"/>
                <w:kern w:val="0"/>
                <w:sz w:val="18"/>
                <w:szCs w:val="18"/>
              </w:rPr>
            </w:pPr>
          </w:p>
        </w:tc>
        <w:tc>
          <w:tcPr>
            <w:tcW w:w="1696" w:type="pct"/>
            <w:gridSpan w:val="5"/>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杭州湾海域</w:t>
            </w:r>
          </w:p>
        </w:tc>
        <w:tc>
          <w:tcPr>
            <w:tcW w:w="608" w:type="pct"/>
            <w:gridSpan w:val="2"/>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相邻</w:t>
            </w:r>
          </w:p>
        </w:tc>
        <w:tc>
          <w:tcPr>
            <w:tcW w:w="842" w:type="pct"/>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S</w:t>
            </w:r>
          </w:p>
        </w:tc>
        <w:tc>
          <w:tcPr>
            <w:tcW w:w="651" w:type="pct"/>
            <w:gridSpan w:val="3"/>
            <w:shd w:val="clear" w:color="auto" w:fill="auto"/>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w:t>
            </w:r>
          </w:p>
        </w:tc>
        <w:tc>
          <w:tcPr>
            <w:tcW w:w="938" w:type="pct"/>
            <w:gridSpan w:val="2"/>
            <w:shd w:val="clear" w:color="auto" w:fill="auto"/>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GB3097-1997</w:t>
            </w:r>
            <w:r>
              <w:rPr>
                <w:rFonts w:hint="eastAsia" w:ascii="Times New Roman" w:hAnsi="Times New Roman" w:cs="Times New Roman"/>
                <w:kern w:val="0"/>
                <w:sz w:val="18"/>
                <w:szCs w:val="18"/>
              </w:rPr>
              <w:t>四类</w:t>
            </w:r>
          </w:p>
        </w:tc>
      </w:tr>
    </w:tbl>
    <w:p>
      <w:pPr>
        <w:pStyle w:val="32"/>
      </w:pPr>
      <w:r>
        <w:rPr>
          <w:rFonts w:hint="eastAsia"/>
        </w:rPr>
        <w:t>三、主要环境影响情况</w:t>
      </w:r>
    </w:p>
    <w:p>
      <w:pPr>
        <w:pStyle w:val="33"/>
        <w:ind w:firstLine="422"/>
      </w:pPr>
      <w:r>
        <w:rPr>
          <w:rFonts w:hint="eastAsia"/>
        </w:rPr>
        <w:t>1、大气环境</w:t>
      </w:r>
    </w:p>
    <w:p>
      <w:pPr>
        <w:pStyle w:val="19"/>
        <w:ind w:firstLine="420"/>
      </w:pPr>
      <w:r>
        <w:rPr>
          <w:rFonts w:hint="eastAsia"/>
        </w:rPr>
        <w:t>预测结果表明，项目建成后排放的污染物浓度较低，非甲烷总烃等污染物达到《大气污染物综合排放标准》（GB16297-1996）排放要求，经预测对环境空气质量和保护目标的影响较小。施工期间各类施工机械所产生的废气较为分散，且大多为流动源。由于项目周边各个敏感点距离较远，且项目地处海边，空气流动性较好，因此采取一定措施后，施工期各类废气对大气环境的影响是短暂的、轻微的，对敏感点的影响也不大。</w:t>
      </w:r>
    </w:p>
    <w:p>
      <w:pPr>
        <w:pStyle w:val="33"/>
        <w:ind w:firstLine="422"/>
      </w:pPr>
      <w:r>
        <w:rPr>
          <w:rFonts w:hint="eastAsia"/>
        </w:rPr>
        <w:t>2、地表水环境影响分析</w:t>
      </w:r>
    </w:p>
    <w:p>
      <w:pPr>
        <w:pStyle w:val="19"/>
        <w:ind w:firstLine="420"/>
      </w:pPr>
      <w:r>
        <w:t>运营期</w:t>
      </w:r>
      <w:r>
        <w:rPr>
          <w:rFonts w:hint="eastAsia"/>
        </w:rPr>
        <w:t>本项目产生的废水为码头初期雨水，通过管线排入码头后方储罐区污水处理站经预处理后达到《污水综合排放标准》（GB8978-1996）三级标准后纳入污水管网，最终经嘉兴</w:t>
      </w:r>
      <w:r>
        <w:rPr>
          <w:rFonts w:hint="eastAsia"/>
          <w:lang w:val="en-US" w:eastAsia="zh-CN"/>
        </w:rPr>
        <w:t>港区工业</w:t>
      </w:r>
      <w:r>
        <w:rPr>
          <w:rFonts w:hint="eastAsia"/>
        </w:rPr>
        <w:t>污水处理</w:t>
      </w:r>
      <w:r>
        <w:rPr>
          <w:rFonts w:hint="eastAsia"/>
          <w:lang w:val="en-US" w:eastAsia="zh-CN"/>
        </w:rPr>
        <w:t>有限公司</w:t>
      </w:r>
      <w:r>
        <w:rPr>
          <w:rFonts w:hint="eastAsia"/>
        </w:rPr>
        <w:t>处理达到《城镇污水处理厂污染物排放标准》（GB18918-2002）中的一级A标准后外排</w:t>
      </w:r>
      <w:r>
        <w:rPr>
          <w:rFonts w:hint="eastAsia"/>
          <w:lang w:eastAsia="zh-CN"/>
        </w:rPr>
        <w:t>。</w:t>
      </w:r>
      <w:r>
        <w:rPr>
          <w:rFonts w:hint="eastAsia"/>
          <w:lang w:val="en-US" w:eastAsia="zh-CN"/>
        </w:rPr>
        <w:t>因此项目产生废水</w:t>
      </w:r>
      <w:r>
        <w:rPr>
          <w:rFonts w:hint="eastAsia"/>
          <w:highlight w:val="none"/>
          <w:lang w:val="en-US" w:eastAsia="zh-CN"/>
        </w:rPr>
        <w:t>不</w:t>
      </w:r>
      <w:r>
        <w:rPr>
          <w:rFonts w:hint="eastAsia"/>
          <w:highlight w:val="none"/>
        </w:rPr>
        <w:t>直接排放到海域，</w:t>
      </w:r>
      <w:r>
        <w:rPr>
          <w:rFonts w:hint="eastAsia"/>
        </w:rPr>
        <w:t>对项目周围海域水质影响不大。</w:t>
      </w:r>
      <w:bookmarkStart w:id="5" w:name="_GoBack"/>
      <w:bookmarkEnd w:id="5"/>
    </w:p>
    <w:p>
      <w:pPr>
        <w:pStyle w:val="33"/>
        <w:ind w:firstLine="422"/>
      </w:pPr>
      <w:r>
        <w:rPr>
          <w:rFonts w:hint="eastAsia"/>
        </w:rPr>
        <w:t>3、地下水环境影响分析</w:t>
      </w:r>
    </w:p>
    <w:p>
      <w:pPr>
        <w:pStyle w:val="19"/>
        <w:ind w:firstLine="420"/>
      </w:pPr>
      <w:r>
        <w:t>在确保各项防渗措施得以落实，并加强维护和环境管理的前提下，可有效控制</w:t>
      </w:r>
      <w:r>
        <w:rPr>
          <w:rFonts w:hint="eastAsia"/>
        </w:rPr>
        <w:t>陆域管道</w:t>
      </w:r>
      <w:r>
        <w:t>的废水</w:t>
      </w:r>
      <w:r>
        <w:rPr>
          <w:rFonts w:hint="eastAsia"/>
        </w:rPr>
        <w:t>等</w:t>
      </w:r>
      <w:r>
        <w:t>污染物下渗现象，避免污染地下水，因此项目不会对区域地下水环境产生明显影响。</w:t>
      </w:r>
    </w:p>
    <w:p>
      <w:pPr>
        <w:pStyle w:val="33"/>
        <w:ind w:firstLine="422"/>
      </w:pPr>
      <w:r>
        <w:rPr>
          <w:rFonts w:hint="eastAsia"/>
        </w:rPr>
        <w:t>4、声环境影响分析</w:t>
      </w:r>
    </w:p>
    <w:p>
      <w:pPr>
        <w:pStyle w:val="19"/>
        <w:ind w:firstLine="420"/>
      </w:pPr>
      <w:r>
        <w:rPr>
          <w:rFonts w:hint="eastAsia"/>
        </w:rPr>
        <w:t>施工期环境噪声主要来自施工机械打桩、运输和装卸等施工作业，通过机械设备和技术的合理选择并加强管理，合理安排施工机械作业场所、施工时间等措施后，可将施工期噪声影响降低到最小程度，且随着施工活动的结束，施工噪声的影响也随之消失。</w:t>
      </w:r>
    </w:p>
    <w:p>
      <w:pPr>
        <w:pStyle w:val="33"/>
        <w:ind w:firstLine="422"/>
      </w:pPr>
      <w:r>
        <w:rPr>
          <w:rFonts w:hint="eastAsia"/>
        </w:rPr>
        <w:t>5、土壤环境影响分析</w:t>
      </w:r>
    </w:p>
    <w:p>
      <w:pPr>
        <w:pStyle w:val="19"/>
        <w:ind w:firstLine="420"/>
      </w:pPr>
      <w:r>
        <w:t>本项目实施后，</w:t>
      </w:r>
      <w:r>
        <w:rPr>
          <w:rFonts w:hint="eastAsia"/>
        </w:rPr>
        <w:t>利用现有污水处理设施</w:t>
      </w:r>
      <w:r>
        <w:t>做好污水的收集、污水管道和污水处理、污泥处理构建筑物的防腐防渗工作，避免管道和构建筑物的跑冒滴漏，本项目的实施对土壤环境的影响较小。</w:t>
      </w:r>
    </w:p>
    <w:p>
      <w:pPr>
        <w:pStyle w:val="33"/>
        <w:ind w:firstLine="422"/>
      </w:pPr>
      <w:r>
        <w:rPr>
          <w:rFonts w:hint="eastAsia"/>
        </w:rPr>
        <w:t>6、固体废物影响分析</w:t>
      </w:r>
    </w:p>
    <w:p>
      <w:pPr>
        <w:pStyle w:val="19"/>
        <w:ind w:firstLine="420"/>
      </w:pPr>
      <w:r>
        <w:t>施工场地生活垃圾不得丢入海域，必须纳入当地环卫系统清运。</w:t>
      </w:r>
      <w:r>
        <w:rPr>
          <w:rFonts w:hint="eastAsia"/>
        </w:rPr>
        <w:t>码头前沿</w:t>
      </w:r>
      <w:r>
        <w:t>疏浚底泥运往海事部门指定的抛泥区抛填，严禁直接抛入海域。在此前提下施工期产生的各类固体废物对环境影响不大。</w:t>
      </w:r>
    </w:p>
    <w:p>
      <w:pPr>
        <w:pStyle w:val="33"/>
        <w:ind w:firstLine="422"/>
      </w:pPr>
      <w:r>
        <w:rPr>
          <w:rFonts w:hint="eastAsia"/>
        </w:rPr>
        <w:t>7、生态环境影响分析</w:t>
      </w:r>
    </w:p>
    <w:p>
      <w:pPr>
        <w:pStyle w:val="19"/>
        <w:ind w:firstLine="420"/>
      </w:pPr>
      <w:r>
        <w:rPr>
          <w:rFonts w:hint="eastAsia"/>
        </w:rPr>
        <w:t>项目</w:t>
      </w:r>
      <w:r>
        <w:t>栈桥桩基施工会搅动海底沉积物，使海洋沉积物环境发生改变，该施工影响是暂时的，</w:t>
      </w:r>
      <w:r>
        <w:rPr>
          <w:rFonts w:hint="eastAsia"/>
        </w:rPr>
        <w:t>同时</w:t>
      </w:r>
      <w:r>
        <w:t>由于桩基础占用海域面积较小，总体受影响的底栖生物量较少。</w:t>
      </w:r>
      <w:r>
        <w:rPr>
          <w:rFonts w:hint="eastAsia"/>
        </w:rPr>
        <w:t>通过预测，工程</w:t>
      </w:r>
      <w:r>
        <w:t>海域栈桥建设对周边敏感点流速</w:t>
      </w:r>
      <w:r>
        <w:rPr>
          <w:rFonts w:hint="eastAsia"/>
        </w:rPr>
        <w:t>、</w:t>
      </w:r>
      <w:r>
        <w:t>冲淤影响不大。</w:t>
      </w:r>
      <w:r>
        <w:rPr>
          <w:rFonts w:hint="eastAsia"/>
        </w:rPr>
        <w:t>在项目运营期，企业应做好环保设施的定期维护，同时加强对港区和进出港船舶的管理，则本项目营运期不会对附近海域水质、沉积物和生态环境造成重大影响。</w:t>
      </w:r>
    </w:p>
    <w:p>
      <w:pPr>
        <w:pStyle w:val="33"/>
        <w:ind w:firstLine="422"/>
      </w:pPr>
      <w:r>
        <w:rPr>
          <w:rFonts w:hint="eastAsia"/>
        </w:rPr>
        <w:t>8、环境风险分析</w:t>
      </w:r>
    </w:p>
    <w:p>
      <w:pPr>
        <w:pStyle w:val="19"/>
        <w:ind w:firstLine="420"/>
      </w:pPr>
      <w:r>
        <w:rPr>
          <w:rFonts w:hint="eastAsia"/>
        </w:rPr>
        <w:t>本项目可能发生的事故主要有管线泄漏引起土壤及地下水的污染，以及可能引起对环境的影响；</w:t>
      </w:r>
      <w:r>
        <w:t>本工程为</w:t>
      </w:r>
      <w:r>
        <w:rPr>
          <w:rFonts w:hint="eastAsia"/>
        </w:rPr>
        <w:t>液体化工</w:t>
      </w:r>
      <w:r>
        <w:t>装卸码头，工程建设运营中存在的主要环境风险为施工期施工船舶与通航船舶发生碰撞，运营期船舶碰撞</w:t>
      </w:r>
      <w:r>
        <w:rPr>
          <w:rFonts w:hint="eastAsia"/>
        </w:rPr>
        <w:t>、原料装卸</w:t>
      </w:r>
      <w:r>
        <w:t>造成的事故风险。</w:t>
      </w:r>
      <w:r>
        <w:rPr>
          <w:rFonts w:hint="eastAsia"/>
        </w:rPr>
        <w:t>在加强日常管理、规范人员操作、做好防范措施和采取必要的应急措施基础上，本项目正常生产情况下其环境风险程度属于可接受水平。</w:t>
      </w:r>
    </w:p>
    <w:p>
      <w:pPr>
        <w:pStyle w:val="32"/>
      </w:pPr>
      <w:r>
        <w:t>四、拟采取的主要环境保护措施、环境风险防范措施</w:t>
      </w:r>
    </w:p>
    <w:p>
      <w:pPr>
        <w:pStyle w:val="33"/>
        <w:ind w:firstLine="422"/>
      </w:pPr>
      <w:bookmarkStart w:id="0" w:name="_Toc55918687"/>
      <w:bookmarkStart w:id="1" w:name="_Toc55918686"/>
      <w:r>
        <w:rPr>
          <w:rFonts w:hint="eastAsia"/>
        </w:rPr>
        <w:t>1</w:t>
      </w:r>
      <w:r>
        <w:t>、</w:t>
      </w:r>
      <w:r>
        <w:rPr>
          <w:rFonts w:hint="eastAsia"/>
        </w:rPr>
        <w:t>大气环境保护措施</w:t>
      </w:r>
      <w:bookmarkEnd w:id="0"/>
    </w:p>
    <w:p>
      <w:pPr>
        <w:pStyle w:val="19"/>
        <w:ind w:firstLine="420"/>
      </w:pPr>
      <w:r>
        <w:t>加强装卸作业现场管理，制定有效的装卸作业制度，加强对管线、阀门、接口的维护管理，采用先进的</w:t>
      </w:r>
      <w:r>
        <w:rPr>
          <w:rFonts w:hint="eastAsia"/>
          <w:lang w:val="en-US" w:eastAsia="zh-CN"/>
        </w:rPr>
        <w:t>DCS</w:t>
      </w:r>
      <w:r>
        <w:t>系统、工业电视监测系统、可燃气体监测报警系统，一旦发生物料泄</w:t>
      </w:r>
      <w:r>
        <w:rPr>
          <w:rFonts w:hint="eastAsia"/>
          <w:lang w:val="en-US" w:eastAsia="zh-CN"/>
        </w:rPr>
        <w:t>漏</w:t>
      </w:r>
      <w:r>
        <w:t>可迅速采取相应的措施</w:t>
      </w:r>
      <w:r>
        <w:rPr>
          <w:rFonts w:hint="eastAsia"/>
        </w:rPr>
        <w:t>；</w:t>
      </w:r>
      <w:r>
        <w:t>加强管理，严格执行码头装卸操作规程，定期检查管道和阀门的工作状况，保证系统安全运行</w:t>
      </w:r>
      <w:r>
        <w:rPr>
          <w:rFonts w:hint="eastAsia"/>
        </w:rPr>
        <w:t>；</w:t>
      </w:r>
      <w:r>
        <w:t>定期开展无组织泄</w:t>
      </w:r>
      <w:r>
        <w:rPr>
          <w:rFonts w:hint="eastAsia"/>
          <w:lang w:val="en-US" w:eastAsia="zh-CN"/>
        </w:rPr>
        <w:t>漏</w:t>
      </w:r>
      <w:r>
        <w:t>检测(LDAR)，根据检测结果及时进行修复</w:t>
      </w:r>
      <w:r>
        <w:rPr>
          <w:rFonts w:hint="eastAsia"/>
        </w:rPr>
        <w:t>。</w:t>
      </w:r>
    </w:p>
    <w:p>
      <w:pPr>
        <w:pStyle w:val="33"/>
        <w:ind w:firstLine="422"/>
      </w:pPr>
      <w:r>
        <w:rPr>
          <w:rFonts w:hint="eastAsia"/>
        </w:rPr>
        <w:t>2</w:t>
      </w:r>
      <w:r>
        <w:t>、</w:t>
      </w:r>
      <w:r>
        <w:rPr>
          <w:rFonts w:hint="eastAsia"/>
        </w:rPr>
        <w:t>水环境保护措施</w:t>
      </w:r>
      <w:bookmarkEnd w:id="1"/>
    </w:p>
    <w:p>
      <w:pPr>
        <w:pStyle w:val="19"/>
        <w:ind w:firstLine="420"/>
      </w:pPr>
      <w:r>
        <w:rPr>
          <w:rFonts w:hint="eastAsia"/>
        </w:rPr>
        <w:t>码头新增初期雨水依托厂区现有废水处理设施，预处理后纳管排放</w:t>
      </w:r>
      <w:r>
        <w:rPr>
          <w:rFonts w:hint="eastAsia" w:hAnsi="Times New Roman" w:cs="Times New Roman"/>
          <w:kern w:val="0"/>
        </w:rPr>
        <w:t>，不直接排海。</w:t>
      </w:r>
    </w:p>
    <w:p>
      <w:pPr>
        <w:pStyle w:val="33"/>
        <w:ind w:firstLine="422"/>
      </w:pPr>
      <w:bookmarkStart w:id="2" w:name="_Toc55918688"/>
      <w:r>
        <w:t>3、</w:t>
      </w:r>
      <w:r>
        <w:rPr>
          <w:rFonts w:hint="eastAsia"/>
        </w:rPr>
        <w:t>地下水保护措施</w:t>
      </w:r>
    </w:p>
    <w:p>
      <w:pPr>
        <w:pStyle w:val="19"/>
        <w:ind w:firstLine="420"/>
        <w:rPr>
          <w:rFonts w:hAnsi="Times New Roman" w:cs="Times New Roman"/>
          <w:kern w:val="0"/>
        </w:rPr>
      </w:pPr>
      <w:r>
        <w:rPr>
          <w:rFonts w:hAnsi="Times New Roman" w:cs="Times New Roman"/>
          <w:kern w:val="0"/>
        </w:rPr>
        <w:t>主要包括在工艺、管道、设备、污水储存及处理构筑物采取相应措施，防止和降低污染物跑、冒、滴、漏；管线架空敷设</w:t>
      </w:r>
      <w:r>
        <w:rPr>
          <w:rFonts w:hint="eastAsia" w:hAnsi="Times New Roman" w:cs="Times New Roman"/>
          <w:kern w:val="0"/>
        </w:rPr>
        <w:t>，</w:t>
      </w:r>
      <w:r>
        <w:rPr>
          <w:rFonts w:hAnsi="Times New Roman" w:cs="Times New Roman"/>
          <w:kern w:val="0"/>
        </w:rPr>
        <w:t>减少由于管道泄漏而造成的地下水污染。</w:t>
      </w:r>
    </w:p>
    <w:p>
      <w:pPr>
        <w:pStyle w:val="33"/>
        <w:ind w:firstLine="422"/>
      </w:pPr>
      <w:r>
        <w:rPr>
          <w:rFonts w:hint="eastAsia"/>
        </w:rPr>
        <w:t>4、声环境保护措施</w:t>
      </w:r>
      <w:bookmarkEnd w:id="2"/>
    </w:p>
    <w:p>
      <w:pPr>
        <w:pStyle w:val="19"/>
        <w:ind w:firstLine="420"/>
        <w:rPr>
          <w:rFonts w:hAnsi="Times New Roman" w:cs="Times New Roman"/>
          <w:kern w:val="0"/>
        </w:rPr>
      </w:pPr>
      <w:r>
        <w:rPr>
          <w:rFonts w:hAnsi="Times New Roman" w:cs="Times New Roman"/>
          <w:kern w:val="0"/>
        </w:rPr>
        <w:t>注意设备选型，输送泵、风机等设备应尽量选用低噪声型号，从源头上降低噪声的影响。对输送泵、风机等机泵底座设置减振垫等弹性减振设置。加强设备的日常维护和保养。对于到港船舶要加强管理，尽量减少鸣笛。</w:t>
      </w:r>
    </w:p>
    <w:p>
      <w:pPr>
        <w:pStyle w:val="33"/>
        <w:ind w:firstLine="422"/>
      </w:pPr>
      <w:bookmarkStart w:id="3" w:name="_Toc55918689"/>
      <w:r>
        <w:rPr>
          <w:rFonts w:hint="eastAsia"/>
        </w:rPr>
        <w:t>5</w:t>
      </w:r>
      <w:r>
        <w:t>、</w:t>
      </w:r>
      <w:r>
        <w:rPr>
          <w:rFonts w:hint="eastAsia"/>
        </w:rPr>
        <w:t>固体废物处置措施</w:t>
      </w:r>
      <w:bookmarkEnd w:id="3"/>
    </w:p>
    <w:p>
      <w:pPr>
        <w:pStyle w:val="19"/>
        <w:ind w:firstLine="420"/>
        <w:rPr>
          <w:rFonts w:hAnsi="Times New Roman" w:cs="Times New Roman"/>
          <w:kern w:val="0"/>
        </w:rPr>
      </w:pPr>
      <w:bookmarkStart w:id="4" w:name="_Toc55918690"/>
      <w:r>
        <w:rPr>
          <w:rFonts w:hint="eastAsia" w:hAnsi="Times New Roman" w:cs="Times New Roman"/>
          <w:kern w:val="0"/>
        </w:rPr>
        <w:t>本技改项目不新增固体废物，现有项目产生的固废均委托嘉兴市固废处置中心有限责任公司处置；生活垃圾委托嘉兴市港区乍浦环境卫生服务有限公司定期统一清运处置。</w:t>
      </w:r>
    </w:p>
    <w:p>
      <w:pPr>
        <w:pStyle w:val="33"/>
        <w:ind w:firstLine="422"/>
      </w:pPr>
      <w:r>
        <w:rPr>
          <w:rFonts w:hint="eastAsia"/>
        </w:rPr>
        <w:t>6</w:t>
      </w:r>
      <w:r>
        <w:t>、</w:t>
      </w:r>
      <w:bookmarkEnd w:id="4"/>
      <w:r>
        <w:rPr>
          <w:rFonts w:hint="eastAsia"/>
        </w:rPr>
        <w:t>环境风险防范措施</w:t>
      </w:r>
    </w:p>
    <w:p>
      <w:pPr>
        <w:pStyle w:val="19"/>
        <w:ind w:firstLine="420"/>
        <w:rPr>
          <w:rFonts w:hAnsi="Times New Roman" w:cs="Times New Roman"/>
          <w:kern w:val="0"/>
        </w:rPr>
      </w:pPr>
      <w:r>
        <w:rPr>
          <w:rFonts w:hAnsi="Times New Roman" w:cs="Times New Roman"/>
          <w:kern w:val="0"/>
        </w:rPr>
        <w:t>环境风险防范措施主要包括合理布局厂区空间、严格把关贮存单元设施、满足应急防护物资储备等硬件措施，以及健全各项管理制度、严格制定操作工艺规程和环境风险应急预案、加强员工安全教育等软件措施。</w:t>
      </w:r>
    </w:p>
    <w:p>
      <w:pPr>
        <w:pStyle w:val="32"/>
        <w:rPr>
          <w:rFonts w:hAnsi="Times New Roman"/>
        </w:rPr>
      </w:pPr>
      <w:r>
        <w:t>五、环境影响评价</w:t>
      </w:r>
      <w:r>
        <w:rPr>
          <w:rFonts w:hint="eastAsia"/>
        </w:rPr>
        <w:t>初步</w:t>
      </w:r>
      <w:r>
        <w:t>结论</w:t>
      </w:r>
    </w:p>
    <w:p>
      <w:pPr>
        <w:pStyle w:val="19"/>
        <w:ind w:firstLine="420"/>
        <w:rPr>
          <w:rFonts w:hAnsi="Times New Roman" w:cs="Times New Roman"/>
          <w:kern w:val="0"/>
        </w:rPr>
      </w:pPr>
      <w:r>
        <w:rPr>
          <w:rFonts w:hAnsi="Times New Roman" w:cs="Times New Roman"/>
          <w:kern w:val="0"/>
        </w:rPr>
        <w:t>浙江乍浦美福码头仓储有限公司码头改造项目位于嘉兴港乍浦港区</w:t>
      </w:r>
      <w:r>
        <w:rPr>
          <w:rFonts w:hint="eastAsia" w:hAnsi="Times New Roman" w:cs="Times New Roman"/>
          <w:kern w:val="0"/>
          <w:lang w:val="en-US" w:eastAsia="zh-CN"/>
        </w:rPr>
        <w:t>E区2号泊位</w:t>
      </w:r>
      <w:r>
        <w:rPr>
          <w:rFonts w:hint="eastAsia" w:hAnsi="Times New Roman" w:cs="Times New Roman"/>
          <w:kern w:val="0"/>
        </w:rPr>
        <w:t>，</w:t>
      </w:r>
      <w:r>
        <w:rPr>
          <w:rFonts w:hAnsi="Times New Roman" w:cs="Times New Roman"/>
          <w:kern w:val="0"/>
        </w:rPr>
        <w:t>项目的建设符合国家和地方的产业政策，符合嘉兴港总体规划、嘉兴港区总体规划及相应规划环评要求，符合“三线一单”要求；项目运营过程中产生的污染物经本报告提出的各项污染防治措施处理后，符合国家、省规定的污染物排放标准；从预测结果来看，项目实施后对周围环境影响不大，符合周围环境质量底线要求。本项目主要污染物排放符合总量控制文件要求。</w:t>
      </w:r>
    </w:p>
    <w:p>
      <w:pPr>
        <w:pStyle w:val="19"/>
        <w:ind w:firstLine="420"/>
        <w:rPr>
          <w:rFonts w:hAnsi="Times New Roman" w:cs="Times New Roman"/>
          <w:kern w:val="0"/>
        </w:rPr>
      </w:pPr>
      <w:r>
        <w:rPr>
          <w:rFonts w:hint="eastAsia" w:hAnsi="Times New Roman" w:cs="Times New Roman"/>
          <w:kern w:val="0"/>
        </w:rPr>
        <w:t>本项目施工期对环境有一定的不利影响，但严格落实环评提出的各项污染治理措施、风险防范措施、生态保护措施，进一步优化施工方案，加强施工期环境管理工作的情况下，不利环境影响是局部的、短期的和可逆的，随着施工的结束，影响也随之消失。从环境保护的角度而言，本项目的建设是可行的。</w:t>
      </w:r>
    </w:p>
    <w:p>
      <w:pPr>
        <w:pStyle w:val="32"/>
      </w:pPr>
      <w:r>
        <w:t>六、征求意见的内容</w:t>
      </w:r>
    </w:p>
    <w:p>
      <w:pPr>
        <w:pStyle w:val="19"/>
        <w:ind w:firstLine="420"/>
      </w:pPr>
      <w:r>
        <w:t>征求意见的对象：主要为评价范围内的居民、企事业单位。</w:t>
      </w:r>
    </w:p>
    <w:p>
      <w:pPr>
        <w:pStyle w:val="19"/>
        <w:ind w:firstLine="420"/>
      </w:pPr>
      <w:r>
        <w:t>征求意见的范围：征求公众对本项目的设计、施工和运营期环境保护方面的意见。</w:t>
      </w:r>
    </w:p>
    <w:p>
      <w:pPr>
        <w:pStyle w:val="19"/>
        <w:ind w:firstLine="420"/>
      </w:pPr>
      <w:r>
        <w:rPr>
          <w:rFonts w:hint="eastAsia" w:ascii="宋体"/>
        </w:rPr>
        <w:t>①</w:t>
      </w:r>
      <w:r>
        <w:t>设计、施工</w:t>
      </w:r>
      <w:r>
        <w:rPr>
          <w:rFonts w:hint="eastAsia"/>
        </w:rPr>
        <w:t>等</w:t>
      </w:r>
      <w:r>
        <w:t>主要环境影响问题；</w:t>
      </w:r>
      <w:r>
        <w:rPr>
          <w:rFonts w:hint="eastAsia" w:ascii="宋体"/>
        </w:rPr>
        <w:t>②</w:t>
      </w:r>
      <w:r>
        <w:t>采取的环境保护对策措施；</w:t>
      </w:r>
      <w:r>
        <w:rPr>
          <w:rFonts w:hint="eastAsia" w:ascii="宋体"/>
        </w:rPr>
        <w:t>③</w:t>
      </w:r>
      <w:r>
        <w:t>对拟建项目态度等。</w:t>
      </w:r>
    </w:p>
    <w:p>
      <w:pPr>
        <w:pStyle w:val="32"/>
      </w:pPr>
      <w:r>
        <w:t>七、公众提出意见</w:t>
      </w:r>
      <w:r>
        <w:rPr>
          <w:rFonts w:hint="eastAsia"/>
        </w:rPr>
        <w:t>方式</w:t>
      </w:r>
    </w:p>
    <w:p>
      <w:pPr>
        <w:pStyle w:val="19"/>
        <w:ind w:firstLine="420"/>
      </w:pPr>
      <w:r>
        <w:rPr>
          <w:rFonts w:hint="eastAsia"/>
        </w:rPr>
        <w:t>本次公示期</w:t>
      </w:r>
      <w:r>
        <w:rPr>
          <w:rFonts w:hint="eastAsia"/>
          <w:highlight w:val="none"/>
        </w:rPr>
        <w:t>为</w:t>
      </w:r>
      <w:r>
        <w:rPr>
          <w:highlight w:val="none"/>
        </w:rPr>
        <w:t>202</w:t>
      </w:r>
      <w:r>
        <w:rPr>
          <w:rFonts w:hint="eastAsia"/>
          <w:highlight w:val="none"/>
        </w:rPr>
        <w:t>1年5月</w:t>
      </w:r>
      <w:r>
        <w:rPr>
          <w:rFonts w:hint="eastAsia"/>
          <w:highlight w:val="none"/>
          <w:lang w:val="en-US" w:eastAsia="zh-CN"/>
        </w:rPr>
        <w:t>18</w:t>
      </w:r>
      <w:r>
        <w:rPr>
          <w:rFonts w:hint="eastAsia"/>
          <w:highlight w:val="none"/>
        </w:rPr>
        <w:t>日至</w:t>
      </w:r>
      <w:r>
        <w:rPr>
          <w:rFonts w:hint="eastAsia"/>
          <w:highlight w:val="none"/>
          <w:lang w:val="en-US" w:eastAsia="zh-CN"/>
        </w:rPr>
        <w:t>31</w:t>
      </w:r>
      <w:r>
        <w:rPr>
          <w:rFonts w:hint="eastAsia"/>
          <w:highlight w:val="none"/>
        </w:rPr>
        <w:t>日1</w:t>
      </w:r>
      <w:r>
        <w:rPr>
          <w:rFonts w:hint="eastAsia"/>
        </w:rPr>
        <w:t>0个工作日。</w:t>
      </w:r>
    </w:p>
    <w:p>
      <w:pPr>
        <w:pStyle w:val="19"/>
        <w:ind w:firstLine="420"/>
      </w:pPr>
      <w:r>
        <w:t>公众通过第</w:t>
      </w:r>
      <w:r>
        <w:rPr>
          <w:rFonts w:hint="eastAsia"/>
        </w:rPr>
        <w:t>8</w:t>
      </w:r>
      <w:r>
        <w:t>条指定的</w:t>
      </w:r>
      <w:r>
        <w:rPr>
          <w:rFonts w:hint="eastAsia"/>
        </w:rPr>
        <w:t>联系方式</w:t>
      </w:r>
      <w:r>
        <w:t>发送信函、传真等，发表对该项目在环境方面的意见和看法。</w:t>
      </w:r>
      <w:r>
        <w:rPr>
          <w:rFonts w:hint="eastAsia"/>
        </w:rPr>
        <w:t>建设单位</w:t>
      </w:r>
      <w:r>
        <w:t>将在</w:t>
      </w:r>
      <w:r>
        <w:rPr>
          <w:rFonts w:hint="eastAsia"/>
        </w:rPr>
        <w:t>本项目</w:t>
      </w:r>
      <w:r>
        <w:t>《环境影响</w:t>
      </w:r>
      <w:r>
        <w:rPr>
          <w:rFonts w:hint="eastAsia"/>
        </w:rPr>
        <w:t>评价公众参与说明</w:t>
      </w:r>
      <w:r>
        <w:t>》中真实记录公众意见和建议，并将公众的宝贵意见、建议向</w:t>
      </w:r>
      <w:r>
        <w:rPr>
          <w:rFonts w:hint="eastAsia"/>
        </w:rPr>
        <w:t>环评单位和环保行政主管部门</w:t>
      </w:r>
      <w:r>
        <w:t>反映。</w:t>
      </w:r>
    </w:p>
    <w:p>
      <w:pPr>
        <w:pStyle w:val="19"/>
        <w:ind w:firstLine="420"/>
      </w:pPr>
      <w:r>
        <w:rPr>
          <w:rFonts w:hint="eastAsia"/>
        </w:rPr>
        <w:t>注：公众请在意见或建议中留下有效的联系方式，以便进行统计和反馈。</w:t>
      </w:r>
    </w:p>
    <w:p>
      <w:pPr>
        <w:pStyle w:val="32"/>
      </w:pPr>
      <w:r>
        <w:rPr>
          <w:rFonts w:hint="eastAsia"/>
        </w:rPr>
        <w:t>八、联系方式</w:t>
      </w:r>
    </w:p>
    <w:p>
      <w:pPr>
        <w:pStyle w:val="19"/>
        <w:ind w:firstLine="420"/>
      </w:pPr>
      <w:r>
        <w:rPr>
          <w:rFonts w:hint="eastAsia"/>
        </w:rPr>
        <w:t>1、建设单位：浙江乍浦美福码头仓储有限公司</w:t>
      </w:r>
    </w:p>
    <w:p>
      <w:pPr>
        <w:pStyle w:val="19"/>
        <w:ind w:firstLine="420"/>
        <w:rPr>
          <w:rFonts w:hint="default" w:eastAsia="宋体"/>
          <w:lang w:val="en-US" w:eastAsia="zh-CN"/>
        </w:rPr>
      </w:pPr>
      <w:r>
        <w:rPr>
          <w:rFonts w:hint="eastAsia"/>
        </w:rPr>
        <w:t>地址：嘉兴港乍浦港区三期内；联系电话：</w:t>
      </w:r>
      <w:r>
        <w:rPr>
          <w:rFonts w:hint="eastAsia"/>
          <w:lang w:val="en-US" w:eastAsia="zh-CN"/>
        </w:rPr>
        <w:t>0573-85622430</w:t>
      </w:r>
    </w:p>
    <w:p>
      <w:pPr>
        <w:pStyle w:val="19"/>
        <w:ind w:firstLine="420"/>
      </w:pPr>
      <w:r>
        <w:rPr>
          <w:rFonts w:hint="eastAsia"/>
        </w:rPr>
        <w:t>2、环评单位：浙江省环境科技有限公司</w:t>
      </w:r>
    </w:p>
    <w:p>
      <w:pPr>
        <w:pStyle w:val="19"/>
        <w:ind w:firstLine="420"/>
      </w:pPr>
      <w:r>
        <w:rPr>
          <w:rFonts w:hint="eastAsia"/>
        </w:rPr>
        <w:t>地址：杭州市余杭区联创街199号3号楼；联系电话：0</w:t>
      </w:r>
      <w:r>
        <w:t>571</w:t>
      </w:r>
      <w:r>
        <w:rPr>
          <w:rFonts w:hint="eastAsia"/>
        </w:rPr>
        <w:t>-</w:t>
      </w:r>
      <w:r>
        <w:t>87331040</w:t>
      </w:r>
    </w:p>
    <w:p>
      <w:pPr>
        <w:pStyle w:val="19"/>
        <w:ind w:firstLine="420"/>
      </w:pPr>
      <w:r>
        <w:rPr>
          <w:rFonts w:hint="eastAsia"/>
        </w:rPr>
        <w:t>3、环保审批部门：嘉兴市生态环境局港区分局；联系电话：0573-85588120</w:t>
      </w:r>
    </w:p>
    <w:p>
      <w:pPr>
        <w:pStyle w:val="19"/>
        <w:ind w:firstLine="420"/>
        <w:jc w:val="right"/>
      </w:pPr>
    </w:p>
    <w:p>
      <w:pPr>
        <w:pStyle w:val="19"/>
        <w:ind w:firstLine="420"/>
        <w:jc w:val="right"/>
        <w:rPr>
          <w:rFonts w:hint="eastAsia"/>
        </w:rPr>
      </w:pPr>
    </w:p>
    <w:p>
      <w:pPr>
        <w:pStyle w:val="19"/>
        <w:ind w:firstLine="420"/>
        <w:jc w:val="right"/>
        <w:rPr>
          <w:rFonts w:hint="eastAsia"/>
        </w:rPr>
      </w:pPr>
    </w:p>
    <w:p>
      <w:pPr>
        <w:pStyle w:val="19"/>
        <w:ind w:firstLine="420"/>
        <w:jc w:val="right"/>
        <w:rPr>
          <w:rFonts w:hint="eastAsia"/>
        </w:rPr>
      </w:pPr>
    </w:p>
    <w:p>
      <w:pPr>
        <w:pStyle w:val="19"/>
        <w:ind w:firstLine="420"/>
        <w:jc w:val="center"/>
      </w:pPr>
      <w:r>
        <w:rPr>
          <w:rFonts w:hint="eastAsia"/>
          <w:lang w:val="en-US" w:eastAsia="zh-CN"/>
        </w:rPr>
        <w:t xml:space="preserve">                                                           </w:t>
      </w:r>
      <w:r>
        <w:rPr>
          <w:rFonts w:hint="eastAsia"/>
        </w:rPr>
        <w:t>浙江乍浦美福码头仓储有限公司</w:t>
      </w:r>
    </w:p>
    <w:p>
      <w:pPr>
        <w:pStyle w:val="19"/>
        <w:ind w:firstLine="420"/>
        <w:jc w:val="center"/>
        <w:rPr>
          <w:b/>
          <w:szCs w:val="21"/>
          <w:highlight w:val="none"/>
        </w:rPr>
      </w:pPr>
      <w:r>
        <w:rPr>
          <w:rFonts w:hint="eastAsia"/>
          <w:highlight w:val="none"/>
          <w:lang w:val="en-US" w:eastAsia="zh-CN"/>
        </w:rPr>
        <w:t xml:space="preserve">                                                             </w:t>
      </w:r>
      <w:r>
        <w:rPr>
          <w:highlight w:val="none"/>
        </w:rPr>
        <w:t>202</w:t>
      </w:r>
      <w:r>
        <w:rPr>
          <w:rFonts w:hint="eastAsia"/>
          <w:highlight w:val="none"/>
        </w:rPr>
        <w:t>1年5月</w:t>
      </w:r>
      <w:r>
        <w:rPr>
          <w:rFonts w:hint="eastAsia"/>
          <w:highlight w:val="none"/>
          <w:lang w:val="en-US" w:eastAsia="zh-CN"/>
        </w:rPr>
        <w:t>17</w:t>
      </w:r>
      <w:r>
        <w:rPr>
          <w:rFonts w:hint="eastAsia"/>
          <w:highlight w:val="none"/>
        </w:rPr>
        <w:t>日</w:t>
      </w: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2432971"/>
    </w:sdtPr>
    <w:sdtContent>
      <w:sdt>
        <w:sdtPr>
          <w:id w:val="622432972"/>
        </w:sdtPr>
        <w:sdtContent>
          <w:p>
            <w:pPr>
              <w:pStyle w:val="1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486"/>
    <w:rsid w:val="00010245"/>
    <w:rsid w:val="00054151"/>
    <w:rsid w:val="000A56D9"/>
    <w:rsid w:val="000D36B1"/>
    <w:rsid w:val="000F64FA"/>
    <w:rsid w:val="0014757D"/>
    <w:rsid w:val="0014774B"/>
    <w:rsid w:val="001775F1"/>
    <w:rsid w:val="001D70F2"/>
    <w:rsid w:val="001F704E"/>
    <w:rsid w:val="00235716"/>
    <w:rsid w:val="002529E6"/>
    <w:rsid w:val="00277966"/>
    <w:rsid w:val="002B0555"/>
    <w:rsid w:val="002B5DEC"/>
    <w:rsid w:val="002C12D4"/>
    <w:rsid w:val="003331FB"/>
    <w:rsid w:val="003354E8"/>
    <w:rsid w:val="00337C1F"/>
    <w:rsid w:val="0034581E"/>
    <w:rsid w:val="00393B3F"/>
    <w:rsid w:val="003D7535"/>
    <w:rsid w:val="0040291B"/>
    <w:rsid w:val="00431371"/>
    <w:rsid w:val="004325AC"/>
    <w:rsid w:val="004337B1"/>
    <w:rsid w:val="004A3CE7"/>
    <w:rsid w:val="004B5AC7"/>
    <w:rsid w:val="004D43AE"/>
    <w:rsid w:val="004E25FC"/>
    <w:rsid w:val="00505E19"/>
    <w:rsid w:val="00515E93"/>
    <w:rsid w:val="0051631E"/>
    <w:rsid w:val="005501DA"/>
    <w:rsid w:val="0055631B"/>
    <w:rsid w:val="005571F6"/>
    <w:rsid w:val="005751B6"/>
    <w:rsid w:val="00585EF6"/>
    <w:rsid w:val="005927E3"/>
    <w:rsid w:val="005B3047"/>
    <w:rsid w:val="005B3486"/>
    <w:rsid w:val="005D29D0"/>
    <w:rsid w:val="00605A9E"/>
    <w:rsid w:val="0064259B"/>
    <w:rsid w:val="00650C55"/>
    <w:rsid w:val="00665A7D"/>
    <w:rsid w:val="00675DC1"/>
    <w:rsid w:val="006C01C7"/>
    <w:rsid w:val="00725E2E"/>
    <w:rsid w:val="00761DA6"/>
    <w:rsid w:val="0076506B"/>
    <w:rsid w:val="00795DF4"/>
    <w:rsid w:val="007C2FA3"/>
    <w:rsid w:val="00810878"/>
    <w:rsid w:val="00814792"/>
    <w:rsid w:val="00817365"/>
    <w:rsid w:val="00822E61"/>
    <w:rsid w:val="00867F2D"/>
    <w:rsid w:val="00880F7A"/>
    <w:rsid w:val="0089376F"/>
    <w:rsid w:val="008D2707"/>
    <w:rsid w:val="008D7400"/>
    <w:rsid w:val="008F409E"/>
    <w:rsid w:val="008F696A"/>
    <w:rsid w:val="00912BEC"/>
    <w:rsid w:val="009627AD"/>
    <w:rsid w:val="00967296"/>
    <w:rsid w:val="009910D9"/>
    <w:rsid w:val="009B488D"/>
    <w:rsid w:val="009E0380"/>
    <w:rsid w:val="00A5534B"/>
    <w:rsid w:val="00A9263E"/>
    <w:rsid w:val="00AA61BF"/>
    <w:rsid w:val="00AB2096"/>
    <w:rsid w:val="00AB6D31"/>
    <w:rsid w:val="00AC5CCC"/>
    <w:rsid w:val="00AD46BB"/>
    <w:rsid w:val="00AF4433"/>
    <w:rsid w:val="00B53DC2"/>
    <w:rsid w:val="00B63206"/>
    <w:rsid w:val="00B834A6"/>
    <w:rsid w:val="00BA26B7"/>
    <w:rsid w:val="00BE6486"/>
    <w:rsid w:val="00C15930"/>
    <w:rsid w:val="00C32EDE"/>
    <w:rsid w:val="00C6768A"/>
    <w:rsid w:val="00C96885"/>
    <w:rsid w:val="00CC4354"/>
    <w:rsid w:val="00CD79DB"/>
    <w:rsid w:val="00CE4C98"/>
    <w:rsid w:val="00CF1620"/>
    <w:rsid w:val="00D05C3E"/>
    <w:rsid w:val="00D149DE"/>
    <w:rsid w:val="00D3482A"/>
    <w:rsid w:val="00D375A9"/>
    <w:rsid w:val="00D418BA"/>
    <w:rsid w:val="00D9055A"/>
    <w:rsid w:val="00E2304F"/>
    <w:rsid w:val="00E51E36"/>
    <w:rsid w:val="00E83992"/>
    <w:rsid w:val="00EA7B70"/>
    <w:rsid w:val="00EC4FB7"/>
    <w:rsid w:val="00EE6C2D"/>
    <w:rsid w:val="00F22B4D"/>
    <w:rsid w:val="00F35190"/>
    <w:rsid w:val="00F53FDC"/>
    <w:rsid w:val="00F848C4"/>
    <w:rsid w:val="00FB34D6"/>
    <w:rsid w:val="0DA65041"/>
    <w:rsid w:val="2E4C54D7"/>
    <w:rsid w:val="2ECB7BB8"/>
    <w:rsid w:val="324C23E4"/>
    <w:rsid w:val="38521EAE"/>
    <w:rsid w:val="448B61E4"/>
    <w:rsid w:val="465860DD"/>
    <w:rsid w:val="4AAE2B01"/>
    <w:rsid w:val="53B62F11"/>
    <w:rsid w:val="53D51CCB"/>
    <w:rsid w:val="54BD5232"/>
    <w:rsid w:val="70F243DC"/>
    <w:rsid w:val="71D57C93"/>
    <w:rsid w:val="7BB52B6B"/>
    <w:rsid w:val="7C474C92"/>
    <w:rsid w:val="7E4014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3"/>
    <w:next w:val="4"/>
    <w:unhideWhenUsed/>
    <w:qFormat/>
    <w:uiPriority w:val="0"/>
    <w:pPr>
      <w:ind w:firstLine="420" w:firstLineChars="200"/>
    </w:pPr>
  </w:style>
  <w:style w:type="paragraph" w:customStyle="1" w:styleId="3">
    <w:name w:val="表格正文-1"/>
    <w:basedOn w:val="1"/>
    <w:qFormat/>
    <w:uiPriority w:val="0"/>
    <w:pPr>
      <w:spacing w:line="360" w:lineRule="exact"/>
      <w:jc w:val="center"/>
    </w:pPr>
    <w:rPr>
      <w:rFonts w:ascii="Times New Roman" w:hAnsi="Times New Roman" w:eastAsia="宋体" w:cs="Times New Roman"/>
      <w:szCs w:val="24"/>
    </w:rPr>
  </w:style>
  <w:style w:type="paragraph" w:customStyle="1" w:styleId="4">
    <w:name w:val="正文首行缩进2个字 Char"/>
    <w:basedOn w:val="1"/>
    <w:qFormat/>
    <w:uiPriority w:val="0"/>
    <w:pPr>
      <w:ind w:firstLine="480" w:firstLineChars="200"/>
    </w:pPr>
    <w:rPr>
      <w:rFonts w:ascii="Calibri" w:hAnsi="Calibri" w:eastAsia="楷体"/>
      <w:sz w:val="24"/>
    </w:rPr>
  </w:style>
  <w:style w:type="paragraph" w:styleId="5">
    <w:name w:val="Document Map"/>
    <w:basedOn w:val="1"/>
    <w:link w:val="18"/>
    <w:semiHidden/>
    <w:unhideWhenUsed/>
    <w:qFormat/>
    <w:uiPriority w:val="99"/>
    <w:rPr>
      <w:rFonts w:ascii="宋体" w:eastAsia="宋体"/>
      <w:sz w:val="18"/>
      <w:szCs w:val="18"/>
    </w:rPr>
  </w:style>
  <w:style w:type="paragraph" w:styleId="6">
    <w:name w:val="annotation text"/>
    <w:basedOn w:val="1"/>
    <w:link w:val="27"/>
    <w:unhideWhenUsed/>
    <w:qFormat/>
    <w:uiPriority w:val="99"/>
    <w:pPr>
      <w:jc w:val="left"/>
    </w:pPr>
    <w:rPr>
      <w:rFonts w:ascii="Times New Roman" w:hAnsi="Times New Roman" w:eastAsia="宋体"/>
      <w:szCs w:val="21"/>
    </w:rPr>
  </w:style>
  <w:style w:type="paragraph" w:styleId="7">
    <w:name w:val="Body Text"/>
    <w:basedOn w:val="1"/>
    <w:qFormat/>
    <w:uiPriority w:val="1"/>
    <w:rPr>
      <w:rFonts w:ascii="宋体" w:hAnsi="宋体" w:eastAsia="宋体" w:cs="宋体"/>
      <w:sz w:val="24"/>
      <w:lang w:val="zh-CN" w:bidi="zh-CN"/>
    </w:rPr>
  </w:style>
  <w:style w:type="paragraph" w:styleId="8">
    <w:name w:val="Body Text Indent"/>
    <w:basedOn w:val="1"/>
    <w:link w:val="25"/>
    <w:semiHidden/>
    <w:unhideWhenUsed/>
    <w:qFormat/>
    <w:uiPriority w:val="99"/>
    <w:pPr>
      <w:spacing w:after="120"/>
      <w:ind w:left="420" w:leftChars="200"/>
    </w:pPr>
  </w:style>
  <w:style w:type="paragraph" w:styleId="9">
    <w:name w:val="Date"/>
    <w:basedOn w:val="1"/>
    <w:next w:val="1"/>
    <w:link w:val="23"/>
    <w:semiHidden/>
    <w:unhideWhenUsed/>
    <w:qFormat/>
    <w:uiPriority w:val="99"/>
    <w:pPr>
      <w:ind w:left="100" w:leftChars="2500"/>
    </w:pPr>
  </w:style>
  <w:style w:type="paragraph" w:styleId="10">
    <w:name w:val="Body Text Indent 2"/>
    <w:basedOn w:val="1"/>
    <w:qFormat/>
    <w:uiPriority w:val="0"/>
    <w:pPr>
      <w:spacing w:before="60" w:line="440" w:lineRule="exact"/>
      <w:ind w:firstLine="539"/>
    </w:pPr>
    <w:rPr>
      <w:rFonts w:ascii="Times New Roman" w:hAnsi="Times New Roman"/>
      <w:sz w:val="27"/>
      <w:szCs w:val="20"/>
    </w:rPr>
  </w:style>
  <w:style w:type="paragraph" w:styleId="11">
    <w:name w:val="Balloon Text"/>
    <w:basedOn w:val="1"/>
    <w:link w:val="24"/>
    <w:semiHidden/>
    <w:unhideWhenUsed/>
    <w:qFormat/>
    <w:uiPriority w:val="99"/>
    <w:rPr>
      <w:sz w:val="18"/>
      <w:szCs w:val="18"/>
    </w:rPr>
  </w:style>
  <w:style w:type="paragraph" w:styleId="12">
    <w:name w:val="footer"/>
    <w:basedOn w:val="1"/>
    <w:link w:val="22"/>
    <w:unhideWhenUsed/>
    <w:qFormat/>
    <w:uiPriority w:val="99"/>
    <w:pPr>
      <w:tabs>
        <w:tab w:val="center" w:pos="4153"/>
        <w:tab w:val="right" w:pos="8306"/>
      </w:tabs>
      <w:snapToGrid w:val="0"/>
      <w:jc w:val="left"/>
    </w:pPr>
    <w:rPr>
      <w:sz w:val="18"/>
      <w:szCs w:val="18"/>
    </w:rPr>
  </w:style>
  <w:style w:type="paragraph" w:styleId="13">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First Indent 2"/>
    <w:basedOn w:val="1"/>
    <w:link w:val="26"/>
    <w:unhideWhenUsed/>
    <w:qFormat/>
    <w:uiPriority w:val="0"/>
    <w:pPr>
      <w:spacing w:line="360" w:lineRule="auto"/>
      <w:ind w:firstLine="200" w:firstLineChars="200"/>
    </w:pPr>
    <w:rPr>
      <w:rFonts w:ascii="Times New Roman" w:hAnsi="Times New Roman" w:eastAsia="宋体"/>
      <w:sz w:val="24"/>
      <w:szCs w:val="21"/>
    </w:rPr>
  </w:style>
  <w:style w:type="character" w:styleId="17">
    <w:name w:val="annotation reference"/>
    <w:basedOn w:val="16"/>
    <w:unhideWhenUsed/>
    <w:qFormat/>
    <w:uiPriority w:val="99"/>
    <w:rPr>
      <w:sz w:val="21"/>
      <w:szCs w:val="21"/>
    </w:rPr>
  </w:style>
  <w:style w:type="character" w:customStyle="1" w:styleId="18">
    <w:name w:val="文档结构图 Char"/>
    <w:basedOn w:val="16"/>
    <w:link w:val="5"/>
    <w:semiHidden/>
    <w:qFormat/>
    <w:uiPriority w:val="99"/>
    <w:rPr>
      <w:rFonts w:ascii="宋体" w:eastAsia="宋体"/>
      <w:sz w:val="18"/>
      <w:szCs w:val="18"/>
    </w:rPr>
  </w:style>
  <w:style w:type="paragraph" w:customStyle="1" w:styleId="19">
    <w:name w:val="0正文"/>
    <w:basedOn w:val="1"/>
    <w:link w:val="20"/>
    <w:qFormat/>
    <w:uiPriority w:val="0"/>
    <w:pPr>
      <w:ind w:firstLine="200" w:firstLineChars="200"/>
    </w:pPr>
    <w:rPr>
      <w:rFonts w:ascii="Times New Roman" w:hAnsi="宋体" w:eastAsia="宋体" w:cs="宋体"/>
      <w:color w:val="000000" w:themeColor="text1"/>
      <w:szCs w:val="24"/>
      <w14:textFill>
        <w14:solidFill>
          <w14:schemeClr w14:val="tx1"/>
        </w14:solidFill>
      </w14:textFill>
    </w:rPr>
  </w:style>
  <w:style w:type="character" w:customStyle="1" w:styleId="20">
    <w:name w:val="0正文 Char"/>
    <w:basedOn w:val="16"/>
    <w:link w:val="19"/>
    <w:qFormat/>
    <w:uiPriority w:val="0"/>
    <w:rPr>
      <w:rFonts w:ascii="Times New Roman" w:hAnsi="宋体" w:eastAsia="宋体" w:cs="宋体"/>
      <w:color w:val="000000" w:themeColor="text1"/>
      <w:szCs w:val="24"/>
      <w14:textFill>
        <w14:solidFill>
          <w14:schemeClr w14:val="tx1"/>
        </w14:solidFill>
      </w14:textFill>
    </w:rPr>
  </w:style>
  <w:style w:type="character" w:customStyle="1" w:styleId="21">
    <w:name w:val="页眉 Char"/>
    <w:basedOn w:val="16"/>
    <w:link w:val="13"/>
    <w:qFormat/>
    <w:uiPriority w:val="99"/>
    <w:rPr>
      <w:sz w:val="18"/>
      <w:szCs w:val="18"/>
    </w:rPr>
  </w:style>
  <w:style w:type="character" w:customStyle="1" w:styleId="22">
    <w:name w:val="页脚 Char"/>
    <w:basedOn w:val="16"/>
    <w:link w:val="12"/>
    <w:qFormat/>
    <w:uiPriority w:val="99"/>
    <w:rPr>
      <w:sz w:val="18"/>
      <w:szCs w:val="18"/>
    </w:rPr>
  </w:style>
  <w:style w:type="character" w:customStyle="1" w:styleId="23">
    <w:name w:val="日期 Char"/>
    <w:basedOn w:val="16"/>
    <w:link w:val="9"/>
    <w:semiHidden/>
    <w:qFormat/>
    <w:uiPriority w:val="99"/>
  </w:style>
  <w:style w:type="character" w:customStyle="1" w:styleId="24">
    <w:name w:val="批注框文本 Char"/>
    <w:basedOn w:val="16"/>
    <w:link w:val="11"/>
    <w:semiHidden/>
    <w:qFormat/>
    <w:uiPriority w:val="99"/>
    <w:rPr>
      <w:sz w:val="18"/>
      <w:szCs w:val="18"/>
    </w:rPr>
  </w:style>
  <w:style w:type="character" w:customStyle="1" w:styleId="25">
    <w:name w:val="正文文本缩进 Char"/>
    <w:basedOn w:val="16"/>
    <w:link w:val="8"/>
    <w:semiHidden/>
    <w:qFormat/>
    <w:uiPriority w:val="99"/>
  </w:style>
  <w:style w:type="character" w:customStyle="1" w:styleId="26">
    <w:name w:val="正文首行缩进 2 Char"/>
    <w:basedOn w:val="25"/>
    <w:link w:val="14"/>
    <w:qFormat/>
    <w:uiPriority w:val="0"/>
    <w:rPr>
      <w:rFonts w:ascii="Times New Roman" w:hAnsi="Times New Roman" w:eastAsia="宋体"/>
      <w:sz w:val="24"/>
      <w:szCs w:val="21"/>
    </w:rPr>
  </w:style>
  <w:style w:type="character" w:customStyle="1" w:styleId="27">
    <w:name w:val="批注文字 Char"/>
    <w:basedOn w:val="16"/>
    <w:link w:val="6"/>
    <w:qFormat/>
    <w:uiPriority w:val="99"/>
    <w:rPr>
      <w:rFonts w:ascii="Times New Roman" w:hAnsi="Times New Roman" w:eastAsia="宋体"/>
      <w:szCs w:val="21"/>
    </w:rPr>
  </w:style>
  <w:style w:type="paragraph" w:customStyle="1" w:styleId="28">
    <w:name w:val="6表头"/>
    <w:basedOn w:val="1"/>
    <w:link w:val="29"/>
    <w:qFormat/>
    <w:uiPriority w:val="0"/>
    <w:pPr>
      <w:spacing w:beforeLines="50"/>
      <w:jc w:val="center"/>
    </w:pPr>
    <w:rPr>
      <w:rFonts w:ascii="黑体" w:hAnsi="黑体" w:eastAsia="黑体" w:cs="Times New Roman"/>
      <w:b/>
      <w:szCs w:val="21"/>
    </w:rPr>
  </w:style>
  <w:style w:type="character" w:customStyle="1" w:styleId="29">
    <w:name w:val="6表头 Char"/>
    <w:basedOn w:val="16"/>
    <w:link w:val="28"/>
    <w:qFormat/>
    <w:uiPriority w:val="0"/>
    <w:rPr>
      <w:rFonts w:ascii="黑体" w:hAnsi="黑体" w:eastAsia="黑体" w:cs="Times New Roman"/>
      <w:b/>
      <w:szCs w:val="21"/>
    </w:rPr>
  </w:style>
  <w:style w:type="paragraph" w:customStyle="1" w:styleId="30">
    <w:name w:val="6.5表位"/>
    <w:basedOn w:val="1"/>
    <w:link w:val="31"/>
    <w:qFormat/>
    <w:uiPriority w:val="0"/>
    <w:pPr>
      <w:jc w:val="center"/>
    </w:pPr>
    <w:rPr>
      <w:rFonts w:ascii="Times New Roman" w:hAnsi="宋体" w:eastAsia="宋体" w:cs="Times New Roman"/>
      <w:kern w:val="0"/>
      <w:sz w:val="20"/>
      <w:szCs w:val="21"/>
    </w:rPr>
  </w:style>
  <w:style w:type="character" w:customStyle="1" w:styleId="31">
    <w:name w:val="6.5表位 字符"/>
    <w:basedOn w:val="16"/>
    <w:link w:val="30"/>
    <w:qFormat/>
    <w:uiPriority w:val="0"/>
    <w:rPr>
      <w:rFonts w:ascii="Times New Roman" w:hAnsi="宋体" w:eastAsia="宋体" w:cs="Times New Roman"/>
      <w:kern w:val="0"/>
      <w:sz w:val="20"/>
      <w:szCs w:val="21"/>
    </w:rPr>
  </w:style>
  <w:style w:type="paragraph" w:customStyle="1" w:styleId="32">
    <w:name w:val="1一级"/>
    <w:basedOn w:val="1"/>
    <w:link w:val="34"/>
    <w:qFormat/>
    <w:uiPriority w:val="0"/>
    <w:pPr>
      <w:outlineLvl w:val="0"/>
    </w:pPr>
    <w:rPr>
      <w:rFonts w:ascii="Times New Roman" w:cs="Times New Roman"/>
      <w:b/>
      <w:sz w:val="24"/>
      <w:szCs w:val="24"/>
    </w:rPr>
  </w:style>
  <w:style w:type="paragraph" w:customStyle="1" w:styleId="33">
    <w:name w:val="2二级"/>
    <w:basedOn w:val="19"/>
    <w:link w:val="35"/>
    <w:qFormat/>
    <w:uiPriority w:val="0"/>
    <w:pPr>
      <w:ind w:firstLine="482"/>
      <w:outlineLvl w:val="1"/>
    </w:pPr>
    <w:rPr>
      <w:b/>
      <w:bCs/>
    </w:rPr>
  </w:style>
  <w:style w:type="character" w:customStyle="1" w:styleId="34">
    <w:name w:val="1一级 字符"/>
    <w:basedOn w:val="16"/>
    <w:link w:val="32"/>
    <w:qFormat/>
    <w:uiPriority w:val="0"/>
    <w:rPr>
      <w:rFonts w:ascii="Times New Roman" w:cs="Times New Roman"/>
      <w:b/>
      <w:sz w:val="24"/>
      <w:szCs w:val="24"/>
    </w:rPr>
  </w:style>
  <w:style w:type="character" w:customStyle="1" w:styleId="35">
    <w:name w:val="2二级 字符"/>
    <w:basedOn w:val="20"/>
    <w:link w:val="33"/>
    <w:qFormat/>
    <w:uiPriority w:val="0"/>
    <w:rPr>
      <w:rFonts w:ascii="Times New Roman" w:hAnsi="宋体" w:eastAsia="宋体" w:cs="宋体"/>
      <w:b/>
      <w:bCs/>
      <w:color w:val="000000" w:themeColor="text1"/>
      <w:szCs w:val="24"/>
      <w14:textFill>
        <w14:solidFill>
          <w14:schemeClr w14:val="tx1"/>
        </w14:solidFill>
      </w14:textFill>
    </w:rPr>
  </w:style>
  <w:style w:type="paragraph" w:customStyle="1" w:styleId="36">
    <w:name w:val="正文01"/>
    <w:basedOn w:val="1"/>
    <w:qFormat/>
    <w:uiPriority w:val="0"/>
    <w:pPr>
      <w:spacing w:before="60" w:line="460" w:lineRule="exact"/>
      <w:ind w:firstLine="20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617</Words>
  <Characters>3520</Characters>
  <Lines>29</Lines>
  <Paragraphs>8</Paragraphs>
  <TotalTime>75</TotalTime>
  <ScaleCrop>false</ScaleCrop>
  <LinksUpToDate>false</LinksUpToDate>
  <CharactersWithSpaces>4129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2020-11-12T16:12:00Z</dcterms:created>
  <dc:creator>WangQQ206</dc:creator>
  <cp:lastModifiedBy>Hey!</cp:lastModifiedBy>
  <dcterms:modified xsi:type="dcterms:W3CDTF">2021-05-17T01:33:41Z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4D1B016FD84E4051A405E56328523FD4</vt:lpwstr>
  </property>
</Properties>
</file>